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3C" w:rsidRPr="00D12D3C" w:rsidRDefault="00D12D3C" w:rsidP="00D12D3C">
      <w:pPr>
        <w:pStyle w:val="2"/>
        <w:jc w:val="center"/>
        <w:rPr>
          <w:lang w:val="el-GR"/>
        </w:rPr>
      </w:pPr>
      <w:r>
        <w:rPr>
          <w:lang w:val="el-GR"/>
        </w:rPr>
        <w:t>ΦΥΛΛΟ ΣΥΜΜΟΡΦΩΣΗΣ</w:t>
      </w:r>
    </w:p>
    <w:p w:rsidR="00D12D3C" w:rsidRPr="00D12D3C" w:rsidRDefault="00D12D3C" w:rsidP="00D12D3C">
      <w:pPr>
        <w:rPr>
          <w:sz w:val="28"/>
          <w:szCs w:val="28"/>
          <w:u w:val="single"/>
          <w:lang w:val="el-GR"/>
        </w:rPr>
      </w:pPr>
    </w:p>
    <w:p w:rsidR="00D12D3C" w:rsidRPr="00364989" w:rsidRDefault="00D12D3C" w:rsidP="00D12D3C">
      <w:pPr>
        <w:rPr>
          <w:lang w:val="el-GR"/>
        </w:rPr>
      </w:pPr>
      <w:r w:rsidRPr="00364989">
        <w:rPr>
          <w:lang w:val="el-GR"/>
        </w:rPr>
        <w:t xml:space="preserve">Οι απαιτήσεις για τον νέο εξοπλισμό της εγκατάστασης αφυδάτωσης παρουσιάζονται με την μορφή πινάκων (Φύλλο </w:t>
      </w:r>
      <w:proofErr w:type="spellStart"/>
      <w:r w:rsidRPr="00364989">
        <w:rPr>
          <w:lang w:val="el-GR"/>
        </w:rPr>
        <w:t>Συμόρφωσης</w:t>
      </w:r>
      <w:proofErr w:type="spellEnd"/>
      <w:r w:rsidRPr="00364989">
        <w:rPr>
          <w:lang w:val="el-GR"/>
        </w:rPr>
        <w:t>). Στη συνέχεια περιγράφεται και επεξηγείται ο τρόπος συμπλήρωσης των πινάκων. Οι πίνακες  που ακολουθούν θα συμπληρωθούν από όλους τους προμηθευτές. Επεξήγηση των στηλών των πινάκων:</w:t>
      </w:r>
    </w:p>
    <w:p w:rsidR="00D12D3C" w:rsidRPr="00364989" w:rsidRDefault="00D12D3C" w:rsidP="00D12D3C">
      <w:pPr>
        <w:rPr>
          <w:lang w:val="el-GR"/>
        </w:rPr>
      </w:pPr>
      <w:r w:rsidRPr="00364989">
        <w:rPr>
          <w:lang w:val="el-GR"/>
        </w:rPr>
        <w:t>Στήλη: Α/Α</w:t>
      </w:r>
    </w:p>
    <w:p w:rsidR="00D12D3C" w:rsidRPr="00364989" w:rsidRDefault="00D12D3C" w:rsidP="00D12D3C">
      <w:pPr>
        <w:rPr>
          <w:lang w:val="el-GR"/>
        </w:rPr>
      </w:pPr>
      <w:r w:rsidRPr="00364989">
        <w:rPr>
          <w:lang w:val="el-GR"/>
        </w:rPr>
        <w:t>Στην στήλη αυτή αναγράφεται ο αύξων αριθμός κατά κατηγορία και υποκατηγορία των στοιχείων που περιγράφονται στην επόμενη στήλη.</w:t>
      </w:r>
    </w:p>
    <w:p w:rsidR="00D12D3C" w:rsidRPr="00364989" w:rsidRDefault="00D12D3C" w:rsidP="00D12D3C">
      <w:pPr>
        <w:rPr>
          <w:lang w:val="el-GR"/>
        </w:rPr>
      </w:pPr>
      <w:r w:rsidRPr="00364989">
        <w:rPr>
          <w:lang w:val="el-GR"/>
        </w:rPr>
        <w:t>Στήλη: ΠΡΟΔΙΑΓΡΑΦΕΣ</w:t>
      </w:r>
    </w:p>
    <w:p w:rsidR="00D12D3C" w:rsidRPr="00364989" w:rsidRDefault="00D12D3C" w:rsidP="00D12D3C">
      <w:pPr>
        <w:rPr>
          <w:lang w:val="el-GR"/>
        </w:rPr>
      </w:pPr>
      <w:r w:rsidRPr="00364989">
        <w:rPr>
          <w:lang w:val="el-GR"/>
        </w:rPr>
        <w:t>Στη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p w:rsidR="00D12D3C" w:rsidRPr="00364989" w:rsidRDefault="00D12D3C" w:rsidP="00D12D3C">
      <w:pPr>
        <w:rPr>
          <w:lang w:val="el-GR"/>
        </w:rPr>
      </w:pPr>
      <w:r w:rsidRPr="00364989">
        <w:rPr>
          <w:lang w:val="el-GR"/>
        </w:rPr>
        <w:t>Στήλη: ΥΠΟΧΡΕΩΤΙΚΗ ΑΠΑΙΤΗΣΗ</w:t>
      </w:r>
    </w:p>
    <w:p w:rsidR="00D12D3C" w:rsidRPr="00364989" w:rsidRDefault="00D12D3C" w:rsidP="00D12D3C">
      <w:pPr>
        <w:rPr>
          <w:lang w:val="el-GR"/>
        </w:rPr>
      </w:pPr>
      <w:r w:rsidRPr="00364989">
        <w:rPr>
          <w:lang w:val="el-GR"/>
        </w:rPr>
        <w:t>Αν στη στήλη «ΑΠΑΙΤΗΣΗ» έχει συμπληρωθεί η λέξη «ΝΑΙ» ή ένας αριθμός (που σημαίνει υποχρεωτικό αριθμητικό μέγεθος της προδιαγραφής (μέγιστο ή ελάχιστο)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rsidR="00D12D3C" w:rsidRPr="00364989" w:rsidRDefault="00D12D3C" w:rsidP="00D12D3C">
      <w:pPr>
        <w:rPr>
          <w:u w:val="single"/>
          <w:lang w:val="el-GR"/>
        </w:rPr>
      </w:pPr>
      <w:r w:rsidRPr="00364989">
        <w:rPr>
          <w:u w:val="single"/>
          <w:lang w:val="el-GR"/>
        </w:rPr>
        <w:t>Η μη συμμόρφωση με τις υποχρεωτικές απαιτήσεις συνεπάγεται την απόρριψη της προσφοράς.</w:t>
      </w:r>
    </w:p>
    <w:p w:rsidR="00D12D3C" w:rsidRPr="00364989" w:rsidRDefault="00D12D3C" w:rsidP="00D12D3C">
      <w:pPr>
        <w:rPr>
          <w:lang w:val="el-GR"/>
        </w:rPr>
      </w:pPr>
      <w:r w:rsidRPr="00364989">
        <w:rPr>
          <w:lang w:val="el-GR"/>
        </w:rPr>
        <w:t>Στήλη: ΑΠΑΝΤΗΣΗ ΠΡΟΜΗΘΕΥΤΗ</w:t>
      </w:r>
    </w:p>
    <w:p w:rsidR="00D12D3C" w:rsidRPr="00364989" w:rsidRDefault="00D12D3C" w:rsidP="00D12D3C">
      <w:pPr>
        <w:rPr>
          <w:lang w:val="el-GR"/>
        </w:rPr>
      </w:pPr>
      <w:r w:rsidRPr="00364989">
        <w:rPr>
          <w:lang w:val="el-GR"/>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D12D3C" w:rsidRPr="00364989" w:rsidRDefault="00D12D3C" w:rsidP="00D12D3C">
      <w:pPr>
        <w:rPr>
          <w:lang w:val="el-GR"/>
        </w:rPr>
      </w:pPr>
      <w:r w:rsidRPr="00364989">
        <w:rPr>
          <w:lang w:val="el-GR"/>
        </w:rPr>
        <w:t>Στήλη: ΠΑΡΑΠΟΜΠΗ</w:t>
      </w:r>
    </w:p>
    <w:p w:rsidR="00D12D3C" w:rsidRPr="00364989" w:rsidRDefault="00D12D3C" w:rsidP="00D12D3C">
      <w:pPr>
        <w:rPr>
          <w:lang w:val="el-GR"/>
        </w:rPr>
      </w:pPr>
      <w:r w:rsidRPr="00364989">
        <w:rPr>
          <w:lang w:val="el-GR"/>
        </w:rPr>
        <w:t>Στη στήλη αυτή θα καταγραφεί η σαφής παραπομπή στην Τεχνική Έκθεση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της Τεχνικής Έκθεσης επισυνάπτεται αναλυτικός πίνακας των περιεχόμενων της.</w:t>
      </w:r>
    </w:p>
    <w:p w:rsidR="00D12D3C" w:rsidRPr="00364989" w:rsidRDefault="00D12D3C" w:rsidP="00D12D3C">
      <w:pPr>
        <w:rPr>
          <w:lang w:val="el-GR"/>
        </w:rPr>
      </w:pPr>
      <w:r w:rsidRPr="00364989">
        <w:rPr>
          <w:lang w:val="el-GR"/>
        </w:rPr>
        <w:t>Το συγκεκριμένο χαρακτηριστικό να έχει εντοπισθεί, υπογραμμισθεί και να αναγράφεται ο αριθμός του κριτηρίου των προδιαγραφών που αναφέρεται.</w:t>
      </w:r>
    </w:p>
    <w:p w:rsidR="00D12D3C" w:rsidRPr="00364989" w:rsidRDefault="00D12D3C" w:rsidP="00D12D3C">
      <w:pPr>
        <w:rPr>
          <w:lang w:val="el-GR"/>
        </w:rPr>
      </w:pPr>
      <w:r w:rsidRPr="00364989">
        <w:rPr>
          <w:lang w:val="el-GR"/>
        </w:rPr>
        <w:t xml:space="preserve">Είναι υποχρεωτική η απάντηση σε όλα τα σημεία των πινάκων και η παροχή όλων των πληροφοριών που ζητούνται. Οι απαντήσεις να είναι σαφείς και τυπωμένες ή δακτυλογραφημένες, χωρίς διορθώσεις και σβησίματα. </w:t>
      </w:r>
      <w:r w:rsidRPr="00364989">
        <w:rPr>
          <w:u w:val="single"/>
          <w:lang w:val="el-GR"/>
        </w:rPr>
        <w:t>Η μη συμμόρφωση με τον όρο αυτό συνεπάγεται την απόρριψη της προσφοράς.</w:t>
      </w:r>
      <w:r w:rsidRPr="00364989">
        <w:rPr>
          <w:lang w:val="el-GR"/>
        </w:rPr>
        <w:t xml:space="preserve">  </w:t>
      </w:r>
    </w:p>
    <w:p w:rsidR="00D12D3C" w:rsidRPr="00364989" w:rsidRDefault="00D12D3C" w:rsidP="00D12D3C">
      <w:pPr>
        <w:spacing w:after="160"/>
        <w:rPr>
          <w:b/>
          <w:sz w:val="20"/>
          <w:szCs w:val="20"/>
          <w:u w:val="single"/>
          <w:lang w:val="el-GR"/>
        </w:rPr>
      </w:pPr>
    </w:p>
    <w:p w:rsidR="00D12D3C" w:rsidRPr="00364989" w:rsidRDefault="00D12D3C" w:rsidP="00D12D3C">
      <w:pPr>
        <w:spacing w:after="160"/>
        <w:rPr>
          <w:sz w:val="20"/>
          <w:szCs w:val="20"/>
          <w:lang w:val="el-GR"/>
        </w:rPr>
      </w:pPr>
    </w:p>
    <w:tbl>
      <w:tblPr>
        <w:tblW w:w="10973"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86"/>
        <w:gridCol w:w="1348"/>
        <w:gridCol w:w="1437"/>
        <w:gridCol w:w="2527"/>
      </w:tblGrid>
      <w:tr w:rsidR="00D12D3C" w:rsidRPr="00364989" w:rsidTr="0000428E">
        <w:trPr>
          <w:trHeight w:val="470"/>
          <w:tblHeader/>
        </w:trPr>
        <w:tc>
          <w:tcPr>
            <w:tcW w:w="675" w:type="dxa"/>
            <w:shd w:val="clear" w:color="auto" w:fill="D9D9D9"/>
            <w:vAlign w:val="center"/>
          </w:tcPr>
          <w:p w:rsidR="00D12D3C" w:rsidRPr="00364989" w:rsidRDefault="00D12D3C" w:rsidP="0000428E">
            <w:pPr>
              <w:jc w:val="center"/>
              <w:rPr>
                <w:b/>
                <w:sz w:val="20"/>
                <w:szCs w:val="20"/>
              </w:rPr>
            </w:pPr>
            <w:r w:rsidRPr="00364989">
              <w:rPr>
                <w:b/>
                <w:sz w:val="20"/>
                <w:szCs w:val="20"/>
              </w:rPr>
              <w:lastRenderedPageBreak/>
              <w:t>Α/Α</w:t>
            </w:r>
          </w:p>
        </w:tc>
        <w:tc>
          <w:tcPr>
            <w:tcW w:w="4986" w:type="dxa"/>
            <w:shd w:val="clear" w:color="auto" w:fill="D9D9D9"/>
            <w:vAlign w:val="center"/>
          </w:tcPr>
          <w:p w:rsidR="00D12D3C" w:rsidRPr="00364989" w:rsidRDefault="00D12D3C" w:rsidP="0000428E">
            <w:pPr>
              <w:jc w:val="center"/>
              <w:rPr>
                <w:b/>
                <w:sz w:val="20"/>
                <w:szCs w:val="20"/>
              </w:rPr>
            </w:pPr>
            <w:r w:rsidRPr="00364989">
              <w:rPr>
                <w:b/>
                <w:sz w:val="20"/>
                <w:szCs w:val="20"/>
              </w:rPr>
              <w:t>ΠΕΡΙΓΡΑΦΗ</w:t>
            </w:r>
          </w:p>
        </w:tc>
        <w:tc>
          <w:tcPr>
            <w:tcW w:w="1348" w:type="dxa"/>
            <w:shd w:val="clear" w:color="auto" w:fill="D9D9D9"/>
            <w:vAlign w:val="center"/>
          </w:tcPr>
          <w:p w:rsidR="00D12D3C" w:rsidRPr="00364989" w:rsidRDefault="00D12D3C" w:rsidP="0000428E">
            <w:pPr>
              <w:jc w:val="center"/>
              <w:rPr>
                <w:b/>
                <w:sz w:val="20"/>
                <w:szCs w:val="20"/>
              </w:rPr>
            </w:pPr>
            <w:r w:rsidRPr="00364989">
              <w:rPr>
                <w:b/>
                <w:sz w:val="20"/>
                <w:szCs w:val="20"/>
              </w:rPr>
              <w:t>ΑΠΑΙΤΗΣΗ</w:t>
            </w:r>
          </w:p>
        </w:tc>
        <w:tc>
          <w:tcPr>
            <w:tcW w:w="1437" w:type="dxa"/>
            <w:shd w:val="clear" w:color="auto" w:fill="D9D9D9"/>
            <w:vAlign w:val="center"/>
          </w:tcPr>
          <w:p w:rsidR="00D12D3C" w:rsidRPr="00364989" w:rsidRDefault="00D12D3C" w:rsidP="0000428E">
            <w:pPr>
              <w:jc w:val="center"/>
              <w:rPr>
                <w:b/>
                <w:sz w:val="20"/>
                <w:szCs w:val="20"/>
              </w:rPr>
            </w:pPr>
            <w:r w:rsidRPr="00364989">
              <w:rPr>
                <w:b/>
                <w:sz w:val="20"/>
                <w:szCs w:val="20"/>
              </w:rPr>
              <w:t>ΑΠΑΝΤΗΣΗ</w:t>
            </w:r>
          </w:p>
        </w:tc>
        <w:tc>
          <w:tcPr>
            <w:tcW w:w="2527" w:type="dxa"/>
            <w:shd w:val="clear" w:color="auto" w:fill="D9D9D9"/>
            <w:vAlign w:val="center"/>
          </w:tcPr>
          <w:p w:rsidR="00D12D3C" w:rsidRPr="00364989" w:rsidRDefault="00D12D3C" w:rsidP="0000428E">
            <w:pPr>
              <w:jc w:val="center"/>
              <w:rPr>
                <w:b/>
                <w:sz w:val="20"/>
                <w:szCs w:val="20"/>
              </w:rPr>
            </w:pPr>
            <w:r w:rsidRPr="00364989">
              <w:rPr>
                <w:b/>
                <w:sz w:val="20"/>
                <w:szCs w:val="20"/>
              </w:rPr>
              <w:t>ΠΑΡΑΠΟΜΠΗ</w:t>
            </w:r>
          </w:p>
        </w:tc>
      </w:tr>
      <w:tr w:rsidR="00D12D3C" w:rsidRPr="00364989" w:rsidTr="0000428E">
        <w:trPr>
          <w:trHeight w:val="412"/>
        </w:trPr>
        <w:tc>
          <w:tcPr>
            <w:tcW w:w="10973" w:type="dxa"/>
            <w:gridSpan w:val="5"/>
            <w:vAlign w:val="center"/>
          </w:tcPr>
          <w:p w:rsidR="00D12D3C" w:rsidRPr="00364989" w:rsidRDefault="00D12D3C" w:rsidP="0000428E">
            <w:pPr>
              <w:rPr>
                <w:sz w:val="20"/>
                <w:szCs w:val="20"/>
              </w:rPr>
            </w:pPr>
            <w:r w:rsidRPr="00364989">
              <w:rPr>
                <w:b/>
                <w:sz w:val="20"/>
                <w:szCs w:val="20"/>
              </w:rPr>
              <w:t>1.ΑΝΤΛΙΕΣ ΙΛΥΟΣ</w:t>
            </w:r>
          </w:p>
        </w:tc>
      </w:tr>
      <w:tr w:rsidR="00D12D3C" w:rsidRPr="00364989" w:rsidTr="0000428E">
        <w:trPr>
          <w:trHeight w:val="3974"/>
        </w:trPr>
        <w:tc>
          <w:tcPr>
            <w:tcW w:w="675" w:type="dxa"/>
            <w:vAlign w:val="center"/>
          </w:tcPr>
          <w:p w:rsidR="00D12D3C" w:rsidRPr="00364989" w:rsidRDefault="00D12D3C" w:rsidP="0000428E">
            <w:pPr>
              <w:pStyle w:val="ListParagraph1"/>
              <w:ind w:left="35"/>
              <w:jc w:val="center"/>
              <w:rPr>
                <w:b/>
                <w:sz w:val="16"/>
                <w:szCs w:val="16"/>
                <w:lang w:val="el-GR"/>
              </w:rPr>
            </w:pPr>
            <w:r w:rsidRPr="00364989">
              <w:rPr>
                <w:b/>
                <w:sz w:val="16"/>
                <w:szCs w:val="16"/>
                <w:lang w:val="el-GR"/>
              </w:rPr>
              <w:t>1.1</w:t>
            </w:r>
          </w:p>
        </w:tc>
        <w:tc>
          <w:tcPr>
            <w:tcW w:w="4986" w:type="dxa"/>
            <w:vAlign w:val="center"/>
          </w:tcPr>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Για την τροφοδοσία του </w:t>
            </w:r>
            <w:proofErr w:type="spellStart"/>
            <w:r w:rsidRPr="00364989">
              <w:rPr>
                <w:sz w:val="16"/>
                <w:szCs w:val="16"/>
                <w:lang w:val="el-GR"/>
              </w:rPr>
              <w:t>φυγοκεντρητή</w:t>
            </w:r>
            <w:proofErr w:type="spellEnd"/>
            <w:r w:rsidRPr="00364989">
              <w:rPr>
                <w:sz w:val="16"/>
                <w:szCs w:val="16"/>
                <w:lang w:val="el-GR"/>
              </w:rPr>
              <w:t xml:space="preserve"> με την </w:t>
            </w:r>
            <w:proofErr w:type="spellStart"/>
            <w:r w:rsidRPr="00364989">
              <w:rPr>
                <w:sz w:val="16"/>
                <w:szCs w:val="16"/>
                <w:lang w:val="el-GR"/>
              </w:rPr>
              <w:t>παχυμένη</w:t>
            </w:r>
            <w:proofErr w:type="spellEnd"/>
            <w:r w:rsidRPr="00364989">
              <w:rPr>
                <w:sz w:val="16"/>
                <w:szCs w:val="16"/>
                <w:lang w:val="el-GR"/>
              </w:rPr>
              <w:t xml:space="preserve"> </w:t>
            </w:r>
            <w:proofErr w:type="spellStart"/>
            <w:r w:rsidRPr="00364989">
              <w:rPr>
                <w:sz w:val="16"/>
                <w:szCs w:val="16"/>
                <w:lang w:val="el-GR"/>
              </w:rPr>
              <w:t>ιλύ</w:t>
            </w:r>
            <w:proofErr w:type="spellEnd"/>
            <w:r w:rsidRPr="00364989">
              <w:rPr>
                <w:sz w:val="16"/>
                <w:szCs w:val="16"/>
                <w:lang w:val="el-GR"/>
              </w:rPr>
              <w:t xml:space="preserve">,  θα εγκατασταθούν 2 αντλίες (μία σε λειτουργία και μία εφεδρική) κατάλληλες για τη συγκεκριμένη εφαρμογή, παροχής τουλάχιστον 40 </w:t>
            </w:r>
            <w:r w:rsidRPr="00364989">
              <w:rPr>
                <w:sz w:val="16"/>
                <w:szCs w:val="16"/>
                <w:lang w:val="en-US"/>
              </w:rPr>
              <w:t>m</w:t>
            </w:r>
            <w:r w:rsidRPr="00364989">
              <w:rPr>
                <w:sz w:val="16"/>
                <w:szCs w:val="16"/>
                <w:lang w:val="el-GR"/>
              </w:rPr>
              <w:t>³/</w:t>
            </w:r>
            <w:r w:rsidRPr="00364989">
              <w:rPr>
                <w:sz w:val="16"/>
                <w:szCs w:val="16"/>
                <w:lang w:val="en-US"/>
              </w:rPr>
              <w:t>h</w:t>
            </w:r>
            <w:r w:rsidRPr="00364989">
              <w:rPr>
                <w:sz w:val="16"/>
                <w:szCs w:val="16"/>
                <w:lang w:val="el-GR"/>
              </w:rPr>
              <w:t xml:space="preserve"> που θα ρυθμίζεται με </w:t>
            </w:r>
            <w:r w:rsidRPr="00364989">
              <w:rPr>
                <w:sz w:val="16"/>
                <w:szCs w:val="16"/>
                <w:lang w:val="en-US"/>
              </w:rPr>
              <w:t>inverter</w:t>
            </w:r>
            <w:r w:rsidRPr="00364989">
              <w:rPr>
                <w:sz w:val="16"/>
                <w:szCs w:val="16"/>
                <w:lang w:val="el-GR"/>
              </w:rPr>
              <w:t>.</w:t>
            </w:r>
          </w:p>
          <w:p w:rsidR="00D12D3C" w:rsidRPr="00364989" w:rsidRDefault="00D12D3C" w:rsidP="0000428E">
            <w:pPr>
              <w:rPr>
                <w:sz w:val="16"/>
                <w:szCs w:val="16"/>
                <w:lang w:val="el-GR"/>
              </w:rPr>
            </w:pPr>
            <w:r w:rsidRPr="00364989">
              <w:rPr>
                <w:sz w:val="16"/>
                <w:szCs w:val="16"/>
                <w:lang w:val="el-GR"/>
              </w:rPr>
              <w:t xml:space="preserve"> Οι αντλίες θα διαθέτουν κατάλληλες δικλείδες απομόνωσης της ροής και </w:t>
            </w:r>
            <w:proofErr w:type="spellStart"/>
            <w:r w:rsidRPr="00364989">
              <w:rPr>
                <w:sz w:val="16"/>
                <w:szCs w:val="16"/>
                <w:lang w:val="el-GR"/>
              </w:rPr>
              <w:t>αντεπίστροφες</w:t>
            </w:r>
            <w:proofErr w:type="spellEnd"/>
            <w:r w:rsidRPr="00364989">
              <w:rPr>
                <w:sz w:val="16"/>
                <w:szCs w:val="16"/>
                <w:lang w:val="el-GR"/>
              </w:rPr>
              <w:t xml:space="preserve"> βαλβίδες. Στη γραμμή τροφοδοσίας της ιλύος θα εγκατασταθεί ηλεκτρομαγνητικό </w:t>
            </w:r>
            <w:proofErr w:type="spellStart"/>
            <w:r w:rsidRPr="00364989">
              <w:rPr>
                <w:sz w:val="16"/>
                <w:szCs w:val="16"/>
                <w:lang w:val="el-GR"/>
              </w:rPr>
              <w:t>παροχόμετρο</w:t>
            </w:r>
            <w:proofErr w:type="spellEnd"/>
            <w:r w:rsidRPr="00364989">
              <w:rPr>
                <w:sz w:val="16"/>
                <w:szCs w:val="16"/>
                <w:lang w:val="el-GR"/>
              </w:rPr>
              <w:t>. Οι αντλίες είναι τύπου θετικής εκτόπισης κατάλληλες για διακίνηση ιλύος ελάχιστης παροχής 40</w:t>
            </w:r>
            <w:r w:rsidRPr="00364989">
              <w:rPr>
                <w:sz w:val="16"/>
                <w:szCs w:val="16"/>
                <w:lang w:val="en-US"/>
              </w:rPr>
              <w:t>m</w:t>
            </w:r>
            <w:r w:rsidRPr="00364989">
              <w:rPr>
                <w:sz w:val="16"/>
                <w:szCs w:val="16"/>
                <w:lang w:val="el-GR"/>
              </w:rPr>
              <w:t>3/</w:t>
            </w:r>
            <w:r w:rsidRPr="00364989">
              <w:rPr>
                <w:sz w:val="16"/>
                <w:szCs w:val="16"/>
                <w:lang w:val="en-US"/>
              </w:rPr>
              <w:t>h</w:t>
            </w:r>
            <w:r w:rsidRPr="00364989">
              <w:rPr>
                <w:sz w:val="16"/>
                <w:szCs w:val="16"/>
                <w:lang w:val="el-GR"/>
              </w:rPr>
              <w:t xml:space="preserve"> (βλέπε παράγραφο  4.3.5  Τεύχους Τεχνικών προδιαγραφών)</w:t>
            </w:r>
          </w:p>
          <w:p w:rsidR="00D12D3C" w:rsidRPr="00364989" w:rsidRDefault="00D12D3C" w:rsidP="0000428E">
            <w:pPr>
              <w:rPr>
                <w:sz w:val="16"/>
                <w:szCs w:val="16"/>
                <w:lang w:val="el-GR"/>
              </w:rPr>
            </w:pP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jc w:val="center"/>
              <w:rPr>
                <w:sz w:val="16"/>
                <w:szCs w:val="16"/>
              </w:rPr>
            </w:pPr>
          </w:p>
        </w:tc>
        <w:tc>
          <w:tcPr>
            <w:tcW w:w="2527" w:type="dxa"/>
            <w:vAlign w:val="center"/>
          </w:tcPr>
          <w:p w:rsidR="00D12D3C" w:rsidRPr="00364989" w:rsidRDefault="00D12D3C" w:rsidP="0000428E">
            <w:pPr>
              <w:rPr>
                <w:sz w:val="16"/>
                <w:szCs w:val="16"/>
              </w:rPr>
            </w:pPr>
          </w:p>
        </w:tc>
      </w:tr>
    </w:tbl>
    <w:p w:rsidR="00D12D3C" w:rsidRPr="00364989" w:rsidRDefault="00D12D3C" w:rsidP="00D12D3C">
      <w:r w:rsidRPr="00364989">
        <w:br w:type="page"/>
      </w:r>
      <w:bookmarkStart w:id="0" w:name="_GoBack"/>
      <w:bookmarkEnd w:id="0"/>
    </w:p>
    <w:tbl>
      <w:tblPr>
        <w:tblW w:w="10973"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86"/>
        <w:gridCol w:w="1348"/>
        <w:gridCol w:w="1437"/>
        <w:gridCol w:w="2527"/>
      </w:tblGrid>
      <w:tr w:rsidR="00D12D3C" w:rsidRPr="00364989" w:rsidTr="0000428E">
        <w:trPr>
          <w:trHeight w:val="552"/>
        </w:trPr>
        <w:tc>
          <w:tcPr>
            <w:tcW w:w="10973" w:type="dxa"/>
            <w:gridSpan w:val="5"/>
            <w:vAlign w:val="center"/>
          </w:tcPr>
          <w:p w:rsidR="00D12D3C" w:rsidRPr="00364989" w:rsidRDefault="00D12D3C" w:rsidP="0000428E">
            <w:pPr>
              <w:rPr>
                <w:sz w:val="16"/>
                <w:szCs w:val="16"/>
                <w:lang w:val="el-GR"/>
              </w:rPr>
            </w:pPr>
            <w:r w:rsidRPr="00364989">
              <w:rPr>
                <w:b/>
                <w:sz w:val="16"/>
                <w:szCs w:val="16"/>
                <w:lang w:val="el-GR"/>
              </w:rPr>
              <w:lastRenderedPageBreak/>
              <w:t>2. ΣΥΓΚΡΟΤΗΜΑ ΠΑΡΑΣΚΕΥΗΣ ΚΑΙ ΔΟΣΟΜΕΤΡΗΣΗΣ ΠΟΛΥΗΛΕΚΤΡΟΛΥΤΗ</w:t>
            </w:r>
          </w:p>
        </w:tc>
      </w:tr>
      <w:tr w:rsidR="00D12D3C" w:rsidRPr="00364989" w:rsidTr="0000428E">
        <w:trPr>
          <w:trHeight w:val="8079"/>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2.1</w:t>
            </w:r>
          </w:p>
          <w:p w:rsidR="00D12D3C" w:rsidRPr="00364989" w:rsidRDefault="00D12D3C" w:rsidP="0000428E">
            <w:pPr>
              <w:pStyle w:val="ListParagraph1"/>
              <w:ind w:left="35"/>
              <w:rPr>
                <w:b/>
                <w:sz w:val="16"/>
                <w:szCs w:val="16"/>
                <w:lang w:val="el-GR"/>
              </w:rPr>
            </w:pPr>
          </w:p>
        </w:tc>
        <w:tc>
          <w:tcPr>
            <w:tcW w:w="4986" w:type="dxa"/>
            <w:vAlign w:val="center"/>
          </w:tcPr>
          <w:p w:rsidR="00D12D3C" w:rsidRPr="00364989" w:rsidRDefault="00D12D3C" w:rsidP="0000428E">
            <w:pPr>
              <w:rPr>
                <w:sz w:val="16"/>
                <w:szCs w:val="16"/>
                <w:lang w:val="el-GR"/>
              </w:rPr>
            </w:pPr>
            <w:r w:rsidRPr="00364989">
              <w:rPr>
                <w:sz w:val="16"/>
                <w:szCs w:val="16"/>
                <w:lang w:val="el-GR"/>
              </w:rPr>
              <w:t xml:space="preserve">Θα εγκατασταθεί ένα συγκρότημα προπαρασκευής </w:t>
            </w:r>
            <w:proofErr w:type="spellStart"/>
            <w:r w:rsidRPr="00364989">
              <w:rPr>
                <w:sz w:val="16"/>
                <w:szCs w:val="16"/>
                <w:lang w:val="el-GR"/>
              </w:rPr>
              <w:t>πολυηλεκτρολύτη</w:t>
            </w:r>
            <w:proofErr w:type="spellEnd"/>
            <w:r w:rsidRPr="00364989">
              <w:rPr>
                <w:sz w:val="16"/>
                <w:szCs w:val="16"/>
                <w:lang w:val="el-GR"/>
              </w:rPr>
              <w:t xml:space="preserve">, με δυναμικότητα διάλυσης που θα ανταποκρίνεται στη μέγιστη κατανάλωση, τουλάχιστον 3.000 </w:t>
            </w:r>
            <w:proofErr w:type="spellStart"/>
            <w:r w:rsidRPr="00364989">
              <w:rPr>
                <w:sz w:val="16"/>
                <w:szCs w:val="16"/>
                <w:lang w:val="el-GR"/>
              </w:rPr>
              <w:t>λίτρων.Θα</w:t>
            </w:r>
            <w:proofErr w:type="spellEnd"/>
            <w:r w:rsidRPr="00364989">
              <w:rPr>
                <w:sz w:val="16"/>
                <w:szCs w:val="16"/>
                <w:lang w:val="el-GR"/>
              </w:rPr>
              <w:t xml:space="preserve"> αποτελείται από τρία διαμερίσματα, στο καθένα εκ των οποίων τοποθετείται  ηλεκτροκίνητος μηχανικός αναδευτήρας. Το συγκρότημα θα δέχεται στερεό </w:t>
            </w:r>
            <w:proofErr w:type="spellStart"/>
            <w:r w:rsidRPr="00364989">
              <w:rPr>
                <w:sz w:val="16"/>
                <w:szCs w:val="16"/>
                <w:lang w:val="el-GR"/>
              </w:rPr>
              <w:t>πολυηλεκτρολύτη</w:t>
            </w:r>
            <w:proofErr w:type="spellEnd"/>
            <w:r w:rsidRPr="00364989">
              <w:rPr>
                <w:sz w:val="16"/>
                <w:szCs w:val="16"/>
                <w:lang w:val="el-GR"/>
              </w:rPr>
              <w:t xml:space="preserve"> σε σκόνη και η υποδοχή θα γίνεται σε χοάνη χωρητικότητας τουλάχιστον 25</w:t>
            </w:r>
            <w:r w:rsidRPr="00364989">
              <w:rPr>
                <w:sz w:val="16"/>
                <w:szCs w:val="16"/>
                <w:lang w:val="en-US"/>
              </w:rPr>
              <w:t>kg</w:t>
            </w:r>
            <w:r w:rsidRPr="00364989">
              <w:rPr>
                <w:sz w:val="16"/>
                <w:szCs w:val="16"/>
                <w:lang w:val="el-GR"/>
              </w:rPr>
              <w:t xml:space="preserve"> (1 </w:t>
            </w:r>
            <w:proofErr w:type="spellStart"/>
            <w:r w:rsidRPr="00364989">
              <w:rPr>
                <w:sz w:val="16"/>
                <w:szCs w:val="16"/>
                <w:lang w:val="el-GR"/>
              </w:rPr>
              <w:t>σακκί</w:t>
            </w:r>
            <w:proofErr w:type="spellEnd"/>
            <w:r w:rsidRPr="00364989">
              <w:rPr>
                <w:sz w:val="16"/>
                <w:szCs w:val="16"/>
                <w:lang w:val="el-GR"/>
              </w:rPr>
              <w:t xml:space="preserve"> </w:t>
            </w:r>
            <w:proofErr w:type="spellStart"/>
            <w:r w:rsidRPr="00364989">
              <w:rPr>
                <w:sz w:val="16"/>
                <w:szCs w:val="16"/>
                <w:lang w:val="el-GR"/>
              </w:rPr>
              <w:t>πολυηλεκτρολύτη</w:t>
            </w:r>
            <w:proofErr w:type="spellEnd"/>
            <w:r w:rsidRPr="00364989">
              <w:rPr>
                <w:sz w:val="16"/>
                <w:szCs w:val="16"/>
                <w:lang w:val="el-GR"/>
              </w:rPr>
              <w:t xml:space="preserve">). Θα υπάρχει </w:t>
            </w:r>
            <w:proofErr w:type="spellStart"/>
            <w:r w:rsidRPr="00364989">
              <w:rPr>
                <w:sz w:val="16"/>
                <w:szCs w:val="16"/>
                <w:lang w:val="el-GR"/>
              </w:rPr>
              <w:t>δοσομετρικός</w:t>
            </w:r>
            <w:proofErr w:type="spellEnd"/>
            <w:r w:rsidRPr="00364989">
              <w:rPr>
                <w:sz w:val="16"/>
                <w:szCs w:val="16"/>
                <w:lang w:val="el-GR"/>
              </w:rPr>
              <w:t xml:space="preserve"> κοχλίας της σκόνης </w:t>
            </w:r>
            <w:proofErr w:type="spellStart"/>
            <w:r w:rsidRPr="00364989">
              <w:rPr>
                <w:sz w:val="16"/>
                <w:szCs w:val="16"/>
                <w:lang w:val="el-GR"/>
              </w:rPr>
              <w:t>πολυηλεκτρολύτη</w:t>
            </w:r>
            <w:proofErr w:type="spellEnd"/>
            <w:r w:rsidRPr="00364989">
              <w:rPr>
                <w:sz w:val="16"/>
                <w:szCs w:val="16"/>
                <w:lang w:val="el-GR"/>
              </w:rPr>
              <w:t xml:space="preserve"> με ηλεκτρονικά ρυθμιζόμενη παροχή.</w:t>
            </w:r>
          </w:p>
          <w:p w:rsidR="00D12D3C" w:rsidRPr="00364989" w:rsidRDefault="00D12D3C" w:rsidP="0000428E">
            <w:pPr>
              <w:rPr>
                <w:sz w:val="16"/>
                <w:szCs w:val="16"/>
                <w:lang w:val="el-GR"/>
              </w:rPr>
            </w:pPr>
            <w:r w:rsidRPr="00364989">
              <w:rPr>
                <w:sz w:val="16"/>
                <w:szCs w:val="16"/>
                <w:lang w:val="el-GR"/>
              </w:rPr>
              <w:t xml:space="preserve">Εναλλακτικά μπορεί να τροφοδοτηθεί με πυκνό διάλυμα </w:t>
            </w:r>
            <w:proofErr w:type="spellStart"/>
            <w:r w:rsidRPr="00364989">
              <w:rPr>
                <w:sz w:val="16"/>
                <w:szCs w:val="16"/>
                <w:lang w:val="el-GR"/>
              </w:rPr>
              <w:t>πολυηλεκτρολύτη</w:t>
            </w:r>
            <w:proofErr w:type="spellEnd"/>
            <w:r w:rsidRPr="00364989">
              <w:rPr>
                <w:sz w:val="16"/>
                <w:szCs w:val="16"/>
                <w:lang w:val="el-GR"/>
              </w:rPr>
              <w:t xml:space="preserve"> (γαλάκτωμα) με </w:t>
            </w:r>
            <w:proofErr w:type="spellStart"/>
            <w:r w:rsidRPr="00364989">
              <w:rPr>
                <w:sz w:val="16"/>
                <w:szCs w:val="16"/>
                <w:lang w:val="el-GR"/>
              </w:rPr>
              <w:t>δοσομετρική</w:t>
            </w:r>
            <w:proofErr w:type="spellEnd"/>
            <w:r w:rsidRPr="00364989">
              <w:rPr>
                <w:sz w:val="16"/>
                <w:szCs w:val="16"/>
                <w:lang w:val="el-GR"/>
              </w:rPr>
              <w:t xml:space="preserve"> αντλία τοποθετημένη επί της μονάδας.</w:t>
            </w:r>
          </w:p>
          <w:p w:rsidR="00D12D3C" w:rsidRPr="00364989" w:rsidRDefault="00D12D3C" w:rsidP="0000428E">
            <w:pPr>
              <w:rPr>
                <w:sz w:val="16"/>
                <w:szCs w:val="16"/>
                <w:lang w:val="el-GR"/>
              </w:rPr>
            </w:pPr>
            <w:r w:rsidRPr="00364989">
              <w:rPr>
                <w:sz w:val="16"/>
                <w:szCs w:val="16"/>
                <w:lang w:val="el-GR"/>
              </w:rPr>
              <w:t xml:space="preserve">Στα τρία διαμερίσματα θα πραγματοποιείται σε σειρά η </w:t>
            </w:r>
            <w:proofErr w:type="spellStart"/>
            <w:r w:rsidRPr="00364989">
              <w:rPr>
                <w:sz w:val="16"/>
                <w:szCs w:val="16"/>
                <w:lang w:val="el-GR"/>
              </w:rPr>
              <w:t>προδιάλυση</w:t>
            </w:r>
            <w:proofErr w:type="spellEnd"/>
            <w:r w:rsidRPr="00364989">
              <w:rPr>
                <w:sz w:val="16"/>
                <w:szCs w:val="16"/>
                <w:lang w:val="el-GR"/>
              </w:rPr>
              <w:t xml:space="preserve">, η ωρίμανση και η τροφοδοσία του διαλύματος προς τον </w:t>
            </w:r>
            <w:proofErr w:type="spellStart"/>
            <w:r w:rsidRPr="00364989">
              <w:rPr>
                <w:sz w:val="16"/>
                <w:szCs w:val="16"/>
                <w:lang w:val="el-GR"/>
              </w:rPr>
              <w:t>φυγοκεντρητή</w:t>
            </w:r>
            <w:proofErr w:type="spellEnd"/>
            <w:r w:rsidRPr="00364989">
              <w:rPr>
                <w:sz w:val="16"/>
                <w:szCs w:val="16"/>
                <w:lang w:val="el-GR"/>
              </w:rPr>
              <w:t>.</w:t>
            </w:r>
          </w:p>
          <w:p w:rsidR="00D12D3C" w:rsidRPr="00364989" w:rsidRDefault="00D12D3C" w:rsidP="0000428E">
            <w:pPr>
              <w:rPr>
                <w:sz w:val="16"/>
                <w:szCs w:val="16"/>
                <w:lang w:val="el-GR"/>
              </w:rPr>
            </w:pPr>
            <w:r w:rsidRPr="00364989">
              <w:rPr>
                <w:sz w:val="16"/>
                <w:szCs w:val="16"/>
                <w:lang w:val="el-GR"/>
              </w:rPr>
              <w:t xml:space="preserve">Τα διαμερίσματα θα διαθέτουν ικανό όγκο, </w:t>
            </w:r>
            <w:proofErr w:type="spellStart"/>
            <w:r w:rsidRPr="00364989">
              <w:rPr>
                <w:sz w:val="16"/>
                <w:szCs w:val="16"/>
                <w:lang w:val="el-GR"/>
              </w:rPr>
              <w:t>βάννες</w:t>
            </w:r>
            <w:proofErr w:type="spellEnd"/>
            <w:r w:rsidRPr="00364989">
              <w:rPr>
                <w:sz w:val="16"/>
                <w:szCs w:val="16"/>
                <w:lang w:val="el-GR"/>
              </w:rPr>
              <w:t xml:space="preserve"> αδειάσματος και σύστημα συναγερμού υψηλής και χαμηλής στάθμης. </w:t>
            </w:r>
          </w:p>
          <w:p w:rsidR="00D12D3C" w:rsidRPr="00364989" w:rsidRDefault="00D12D3C" w:rsidP="0000428E">
            <w:pPr>
              <w:rPr>
                <w:sz w:val="16"/>
                <w:szCs w:val="16"/>
                <w:lang w:val="el-GR"/>
              </w:rPr>
            </w:pPr>
            <w:r w:rsidRPr="00364989">
              <w:rPr>
                <w:sz w:val="16"/>
                <w:szCs w:val="16"/>
                <w:lang w:val="el-GR"/>
              </w:rPr>
              <w:t xml:space="preserve">Το συγκρότημα θα τροφοδοτείται με πόσιμο νερό μέσω </w:t>
            </w:r>
            <w:proofErr w:type="spellStart"/>
            <w:r w:rsidRPr="00364989">
              <w:rPr>
                <w:sz w:val="16"/>
                <w:szCs w:val="16"/>
                <w:lang w:val="el-GR"/>
              </w:rPr>
              <w:t>ηλεκτροβάννας</w:t>
            </w:r>
            <w:proofErr w:type="spellEnd"/>
            <w:r w:rsidRPr="00364989">
              <w:rPr>
                <w:sz w:val="16"/>
                <w:szCs w:val="16"/>
                <w:lang w:val="el-GR"/>
              </w:rPr>
              <w:t xml:space="preserve"> με δυνατότητα ρύθμισης παροχής και πίεσης του νερού, για την παραγωγή διαλύματος με αραίωση τουλάχιστον 0,5%.  </w:t>
            </w:r>
          </w:p>
          <w:p w:rsidR="00D12D3C" w:rsidRPr="00364989" w:rsidRDefault="00D12D3C" w:rsidP="0000428E">
            <w:pPr>
              <w:rPr>
                <w:sz w:val="16"/>
                <w:szCs w:val="16"/>
                <w:lang w:val="el-GR"/>
              </w:rPr>
            </w:pPr>
            <w:r w:rsidRPr="00364989">
              <w:rPr>
                <w:sz w:val="16"/>
                <w:szCs w:val="16"/>
                <w:lang w:val="el-GR"/>
              </w:rPr>
              <w:t xml:space="preserve">Το συγκρότημα θα διαθέτει αυτόνομο ηλεκτρικό πίνακα ελέγχου και λειτουργίας. Το υλικό κατασκευής θα είναι από οποιοδήποτε υλικό με αποδεδειγμένη αντοχή και καταλληλότητα σε διαλύματα </w:t>
            </w:r>
            <w:proofErr w:type="spellStart"/>
            <w:r w:rsidRPr="00364989">
              <w:rPr>
                <w:sz w:val="16"/>
                <w:szCs w:val="16"/>
                <w:lang w:val="el-GR"/>
              </w:rPr>
              <w:t>πολυηλεκτρολύτη</w:t>
            </w:r>
            <w:proofErr w:type="spellEnd"/>
            <w:r w:rsidRPr="00364989">
              <w:rPr>
                <w:sz w:val="16"/>
                <w:szCs w:val="16"/>
                <w:lang w:val="el-GR"/>
              </w:rPr>
              <w:t xml:space="preserve"> και διαβρωτικό περιβάλλον, όλες οι σωληνώσεις από PVC ενώ όλα τα βρεχόμενα κινούμενα μεταλλικά μέρη από ανοξείδωτο χάλυβα. </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jc w:val="cente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6711"/>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lastRenderedPageBreak/>
              <w:t>2.1</w:t>
            </w:r>
          </w:p>
        </w:tc>
        <w:tc>
          <w:tcPr>
            <w:tcW w:w="4986" w:type="dxa"/>
            <w:vAlign w:val="center"/>
          </w:tcPr>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Το συγκρότημα θα συνδεθεί με το δίκτυο πόσιμου νερού της Δ.Ε.Υ.Α.Β.Α. για την τροφοδοσία του και με το δίκτυο </w:t>
            </w:r>
            <w:proofErr w:type="spellStart"/>
            <w:r w:rsidRPr="00364989">
              <w:rPr>
                <w:sz w:val="16"/>
                <w:szCs w:val="16"/>
                <w:lang w:val="el-GR"/>
              </w:rPr>
              <w:t>στραγγιδίων</w:t>
            </w:r>
            <w:proofErr w:type="spellEnd"/>
            <w:r w:rsidRPr="00364989">
              <w:rPr>
                <w:sz w:val="16"/>
                <w:szCs w:val="16"/>
                <w:lang w:val="el-GR"/>
              </w:rPr>
              <w:t xml:space="preserve"> της εγκατάστασης για την εκκένωση και την υπερχείλιση του.</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Για τη δυνατότητα περαιτέρω αραίωσης του </w:t>
            </w:r>
            <w:proofErr w:type="spellStart"/>
            <w:r w:rsidRPr="00364989">
              <w:rPr>
                <w:sz w:val="16"/>
                <w:szCs w:val="16"/>
                <w:lang w:val="el-GR"/>
              </w:rPr>
              <w:t>δοσομετρούμενου</w:t>
            </w:r>
            <w:proofErr w:type="spellEnd"/>
            <w:r w:rsidRPr="00364989">
              <w:rPr>
                <w:sz w:val="16"/>
                <w:szCs w:val="16"/>
                <w:lang w:val="el-GR"/>
              </w:rPr>
              <w:t xml:space="preserve"> διαλύματος του </w:t>
            </w:r>
            <w:proofErr w:type="spellStart"/>
            <w:r w:rsidRPr="00364989">
              <w:rPr>
                <w:sz w:val="16"/>
                <w:szCs w:val="16"/>
                <w:lang w:val="el-GR"/>
              </w:rPr>
              <w:t>πολυηλεκτρολύτη</w:t>
            </w:r>
            <w:proofErr w:type="spellEnd"/>
            <w:r w:rsidRPr="00364989">
              <w:rPr>
                <w:sz w:val="16"/>
                <w:szCs w:val="16"/>
                <w:lang w:val="el-GR"/>
              </w:rPr>
              <w:t xml:space="preserve"> έως και 0,1% θα προβλεφθεί σύνδεση έγχυσης νερού, σε κατάλληλο σημείο των σωλήνων τροφοδοσίας του διαλύματος.</w:t>
            </w:r>
          </w:p>
          <w:p w:rsidR="00D12D3C" w:rsidRPr="00364989" w:rsidRDefault="00D12D3C" w:rsidP="0000428E">
            <w:pPr>
              <w:rPr>
                <w:sz w:val="16"/>
                <w:szCs w:val="16"/>
                <w:lang w:val="el-GR"/>
              </w:rPr>
            </w:pPr>
            <w:r w:rsidRPr="00364989">
              <w:rPr>
                <w:sz w:val="16"/>
                <w:szCs w:val="16"/>
                <w:lang w:val="el-GR"/>
              </w:rPr>
              <w:t>Για την αναλυτική προδιαγραφή του συγκροτήματος (βλέπε παράγραφο 6.3.1 Τεύχους Τεχνικών προδιαγραφών)</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Για τη τροφοδότηση του διαλύματος του </w:t>
            </w:r>
            <w:proofErr w:type="spellStart"/>
            <w:r w:rsidRPr="00364989">
              <w:rPr>
                <w:sz w:val="16"/>
                <w:szCs w:val="16"/>
                <w:lang w:val="el-GR"/>
              </w:rPr>
              <w:t>πολυηλεκτρολύτη</w:t>
            </w:r>
            <w:proofErr w:type="spellEnd"/>
            <w:r w:rsidRPr="00364989">
              <w:rPr>
                <w:sz w:val="16"/>
                <w:szCs w:val="16"/>
                <w:lang w:val="el-GR"/>
              </w:rPr>
              <w:t xml:space="preserve"> στον </w:t>
            </w:r>
            <w:proofErr w:type="spellStart"/>
            <w:r w:rsidRPr="00364989">
              <w:rPr>
                <w:sz w:val="16"/>
                <w:szCs w:val="16"/>
                <w:lang w:val="el-GR"/>
              </w:rPr>
              <w:t>φυγοκεντρητή</w:t>
            </w:r>
            <w:proofErr w:type="spellEnd"/>
            <w:r w:rsidRPr="00364989">
              <w:rPr>
                <w:sz w:val="16"/>
                <w:szCs w:val="16"/>
                <w:lang w:val="el-GR"/>
              </w:rPr>
              <w:t xml:space="preserve"> θα τοποθετηθούν 2 αντλίες (μία σε λειτουργία και μία εφεδρική) κατάλληλες για τη συγκεκριμένη εφαρμογή, παροχής τουλάχιστον 3000 </w:t>
            </w:r>
            <w:proofErr w:type="spellStart"/>
            <w:r w:rsidRPr="00364989">
              <w:rPr>
                <w:sz w:val="16"/>
                <w:szCs w:val="16"/>
              </w:rPr>
              <w:t>lt</w:t>
            </w:r>
            <w:proofErr w:type="spellEnd"/>
            <w:r w:rsidRPr="00364989">
              <w:rPr>
                <w:sz w:val="16"/>
                <w:szCs w:val="16"/>
                <w:lang w:val="el-GR"/>
              </w:rPr>
              <w:t>/</w:t>
            </w:r>
            <w:r w:rsidRPr="00364989">
              <w:rPr>
                <w:sz w:val="16"/>
                <w:szCs w:val="16"/>
              </w:rPr>
              <w:t>h</w:t>
            </w:r>
            <w:r w:rsidRPr="00364989">
              <w:rPr>
                <w:sz w:val="16"/>
                <w:szCs w:val="16"/>
                <w:lang w:val="el-GR"/>
              </w:rPr>
              <w:t xml:space="preserve"> που θα ρυθμίζεται με </w:t>
            </w:r>
            <w:r w:rsidRPr="00364989">
              <w:rPr>
                <w:sz w:val="16"/>
                <w:szCs w:val="16"/>
              </w:rPr>
              <w:t>inverter</w:t>
            </w:r>
            <w:r w:rsidRPr="00364989">
              <w:rPr>
                <w:sz w:val="16"/>
                <w:szCs w:val="16"/>
                <w:lang w:val="el-GR"/>
              </w:rPr>
              <w:t xml:space="preserve">. Θα διαθέτουν </w:t>
            </w:r>
            <w:proofErr w:type="spellStart"/>
            <w:r w:rsidRPr="00364989">
              <w:rPr>
                <w:sz w:val="16"/>
                <w:szCs w:val="16"/>
                <w:lang w:val="el-GR"/>
              </w:rPr>
              <w:t>αντεπίστροφες</w:t>
            </w:r>
            <w:proofErr w:type="spellEnd"/>
            <w:r w:rsidRPr="00364989">
              <w:rPr>
                <w:sz w:val="16"/>
                <w:szCs w:val="16"/>
                <w:lang w:val="el-GR"/>
              </w:rPr>
              <w:t xml:space="preserve"> βαλβίδες και βάνες απομόνωσης εκατέρωθεν. Στη γραμμή τροφοδοσίας του </w:t>
            </w:r>
            <w:proofErr w:type="spellStart"/>
            <w:r w:rsidRPr="00364989">
              <w:rPr>
                <w:sz w:val="16"/>
                <w:szCs w:val="16"/>
                <w:lang w:val="el-GR"/>
              </w:rPr>
              <w:t>πολυηλεκτρολύτη</w:t>
            </w:r>
            <w:proofErr w:type="spellEnd"/>
            <w:r w:rsidRPr="00364989">
              <w:rPr>
                <w:sz w:val="16"/>
                <w:szCs w:val="16"/>
                <w:lang w:val="el-GR"/>
              </w:rPr>
              <w:t xml:space="preserve"> θα εγκατασταθεί ηλεκτρομαγνητικό </w:t>
            </w:r>
            <w:proofErr w:type="spellStart"/>
            <w:r w:rsidRPr="00364989">
              <w:rPr>
                <w:sz w:val="16"/>
                <w:szCs w:val="16"/>
                <w:lang w:val="el-GR"/>
              </w:rPr>
              <w:t>παροχόμετρο</w:t>
            </w:r>
            <w:proofErr w:type="spellEnd"/>
            <w:r w:rsidRPr="00364989">
              <w:rPr>
                <w:sz w:val="16"/>
                <w:szCs w:val="16"/>
                <w:lang w:val="el-GR"/>
              </w:rPr>
              <w:t xml:space="preserve">. Για την τροφοδότηση του γαλακτώματος θα τοποθετηθεί κατάλληλη αντλία δυναμικότητας 9-45 </w:t>
            </w:r>
            <w:proofErr w:type="spellStart"/>
            <w:r w:rsidRPr="00364989">
              <w:rPr>
                <w:sz w:val="16"/>
                <w:szCs w:val="16"/>
              </w:rPr>
              <w:t>lt</w:t>
            </w:r>
            <w:proofErr w:type="spellEnd"/>
            <w:r w:rsidRPr="00364989">
              <w:rPr>
                <w:sz w:val="16"/>
                <w:szCs w:val="16"/>
                <w:lang w:val="el-GR"/>
              </w:rPr>
              <w:t>/</w:t>
            </w:r>
            <w:r w:rsidRPr="00364989">
              <w:rPr>
                <w:sz w:val="16"/>
                <w:szCs w:val="16"/>
              </w:rPr>
              <w:t>h</w:t>
            </w:r>
            <w:r w:rsidRPr="00364989">
              <w:rPr>
                <w:sz w:val="16"/>
                <w:szCs w:val="16"/>
                <w:lang w:val="el-GR"/>
              </w:rPr>
              <w:t>.</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Οι αντλίες είναι </w:t>
            </w:r>
            <w:proofErr w:type="spellStart"/>
            <w:r w:rsidRPr="00364989">
              <w:rPr>
                <w:sz w:val="16"/>
                <w:szCs w:val="16"/>
                <w:lang w:val="el-GR"/>
              </w:rPr>
              <w:t>δοσομετρικές</w:t>
            </w:r>
            <w:proofErr w:type="spellEnd"/>
            <w:r w:rsidRPr="00364989">
              <w:rPr>
                <w:sz w:val="16"/>
                <w:szCs w:val="16"/>
                <w:lang w:val="el-GR"/>
              </w:rPr>
              <w:t xml:space="preserve"> θετικής εκτόπισης τύπου έκκεντρου κοχλία κατάλληλες </w:t>
            </w:r>
            <w:proofErr w:type="spellStart"/>
            <w:r w:rsidRPr="00364989">
              <w:rPr>
                <w:sz w:val="16"/>
                <w:szCs w:val="16"/>
                <w:lang w:val="el-GR"/>
              </w:rPr>
              <w:t>γιά</w:t>
            </w:r>
            <w:proofErr w:type="spellEnd"/>
            <w:r w:rsidRPr="00364989">
              <w:rPr>
                <w:sz w:val="16"/>
                <w:szCs w:val="16"/>
                <w:lang w:val="el-GR"/>
              </w:rPr>
              <w:t xml:space="preserve"> διακίνηση διαλύματος </w:t>
            </w:r>
            <w:proofErr w:type="spellStart"/>
            <w:r w:rsidRPr="00364989">
              <w:rPr>
                <w:sz w:val="16"/>
                <w:szCs w:val="16"/>
                <w:lang w:val="el-GR"/>
              </w:rPr>
              <w:t>πολυηλεκτρολύτη</w:t>
            </w:r>
            <w:proofErr w:type="spellEnd"/>
            <w:r w:rsidRPr="00364989">
              <w:rPr>
                <w:sz w:val="16"/>
                <w:szCs w:val="16"/>
                <w:lang w:val="el-GR"/>
              </w:rPr>
              <w:t xml:space="preserve"> ικανότητας παροχής τουλάχιστον 3000 </w:t>
            </w:r>
            <w:proofErr w:type="spellStart"/>
            <w:r w:rsidRPr="00364989">
              <w:rPr>
                <w:sz w:val="16"/>
                <w:szCs w:val="16"/>
              </w:rPr>
              <w:t>lt</w:t>
            </w:r>
            <w:proofErr w:type="spellEnd"/>
            <w:r w:rsidRPr="00364989">
              <w:rPr>
                <w:sz w:val="16"/>
                <w:szCs w:val="16"/>
                <w:lang w:val="el-GR"/>
              </w:rPr>
              <w:t>/</w:t>
            </w:r>
            <w:r w:rsidRPr="00364989">
              <w:rPr>
                <w:sz w:val="16"/>
                <w:szCs w:val="16"/>
              </w:rPr>
              <w:t>h</w:t>
            </w:r>
            <w:r w:rsidRPr="00364989">
              <w:rPr>
                <w:sz w:val="16"/>
                <w:szCs w:val="16"/>
                <w:lang w:val="el-GR"/>
              </w:rPr>
              <w:t xml:space="preserve"> (βλέπε παράγραφο  4.3.7  Τεύχους Τεχνικών προδιαγραφών)</w:t>
            </w:r>
          </w:p>
          <w:p w:rsidR="00D12D3C" w:rsidRPr="00364989" w:rsidRDefault="00D12D3C" w:rsidP="0000428E">
            <w:pPr>
              <w:rPr>
                <w:sz w:val="16"/>
                <w:szCs w:val="16"/>
                <w:lang w:val="el-GR"/>
              </w:rPr>
            </w:pP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535"/>
        </w:trPr>
        <w:tc>
          <w:tcPr>
            <w:tcW w:w="10973" w:type="dxa"/>
            <w:gridSpan w:val="5"/>
            <w:vAlign w:val="center"/>
          </w:tcPr>
          <w:p w:rsidR="00D12D3C" w:rsidRPr="00364989" w:rsidRDefault="00D12D3C" w:rsidP="0000428E">
            <w:pPr>
              <w:rPr>
                <w:sz w:val="16"/>
                <w:szCs w:val="16"/>
              </w:rPr>
            </w:pPr>
            <w:r w:rsidRPr="00364989">
              <w:rPr>
                <w:b/>
                <w:sz w:val="16"/>
                <w:szCs w:val="16"/>
              </w:rPr>
              <w:t>3.ΦΥΓΟΚΕΝΤΡΟΣ ΔΙΑΧΩΡΙΣΤΗΣ</w:t>
            </w:r>
          </w:p>
        </w:tc>
      </w:tr>
      <w:tr w:rsidR="00D12D3C" w:rsidRPr="00364989" w:rsidTr="0000428E">
        <w:trPr>
          <w:trHeight w:val="6144"/>
        </w:trPr>
        <w:tc>
          <w:tcPr>
            <w:tcW w:w="675" w:type="dxa"/>
            <w:vAlign w:val="center"/>
          </w:tcPr>
          <w:p w:rsidR="00D12D3C" w:rsidRPr="00364989" w:rsidRDefault="00D12D3C" w:rsidP="0000428E">
            <w:pPr>
              <w:pStyle w:val="ListParagraph1"/>
              <w:ind w:left="35"/>
              <w:jc w:val="both"/>
              <w:rPr>
                <w:b/>
                <w:sz w:val="16"/>
                <w:szCs w:val="16"/>
                <w:lang w:val="el-GR"/>
              </w:rPr>
            </w:pPr>
            <w:r w:rsidRPr="00364989">
              <w:rPr>
                <w:b/>
                <w:sz w:val="16"/>
                <w:szCs w:val="16"/>
                <w:lang w:val="el-GR"/>
              </w:rPr>
              <w:lastRenderedPageBreak/>
              <w:t>3.1</w:t>
            </w:r>
          </w:p>
          <w:p w:rsidR="00D12D3C" w:rsidRPr="00364989" w:rsidRDefault="00D12D3C" w:rsidP="0000428E">
            <w:pPr>
              <w:pStyle w:val="ListParagraph1"/>
              <w:ind w:left="35"/>
              <w:rPr>
                <w:b/>
                <w:sz w:val="16"/>
                <w:szCs w:val="16"/>
                <w:lang w:val="el-GR"/>
              </w:rPr>
            </w:pPr>
          </w:p>
        </w:tc>
        <w:tc>
          <w:tcPr>
            <w:tcW w:w="4986" w:type="dxa"/>
            <w:vAlign w:val="center"/>
          </w:tcPr>
          <w:p w:rsidR="00D12D3C" w:rsidRPr="00364989" w:rsidRDefault="00D12D3C" w:rsidP="0000428E">
            <w:pPr>
              <w:rPr>
                <w:sz w:val="16"/>
                <w:szCs w:val="16"/>
                <w:lang w:val="el-GR"/>
              </w:rPr>
            </w:pPr>
            <w:r w:rsidRPr="00364989">
              <w:rPr>
                <w:sz w:val="16"/>
                <w:szCs w:val="16"/>
                <w:lang w:val="el-GR"/>
              </w:rPr>
              <w:t xml:space="preserve">Ο </w:t>
            </w:r>
            <w:proofErr w:type="spellStart"/>
            <w:r w:rsidRPr="00364989">
              <w:rPr>
                <w:sz w:val="16"/>
                <w:szCs w:val="16"/>
                <w:lang w:val="el-GR"/>
              </w:rPr>
              <w:t>φυγοκεντρητής</w:t>
            </w:r>
            <w:proofErr w:type="spellEnd"/>
            <w:r w:rsidRPr="00364989">
              <w:rPr>
                <w:sz w:val="16"/>
                <w:szCs w:val="16"/>
                <w:lang w:val="el-GR"/>
              </w:rPr>
              <w:t xml:space="preserve">  θα τροφοδοτείται μέσω των αντλιών περίσσειας </w:t>
            </w:r>
            <w:proofErr w:type="spellStart"/>
            <w:r w:rsidRPr="00364989">
              <w:rPr>
                <w:sz w:val="16"/>
                <w:szCs w:val="16"/>
                <w:lang w:val="el-GR"/>
              </w:rPr>
              <w:t>παχυμένης</w:t>
            </w:r>
            <w:proofErr w:type="spellEnd"/>
            <w:r w:rsidRPr="00364989">
              <w:rPr>
                <w:sz w:val="16"/>
                <w:szCs w:val="16"/>
                <w:lang w:val="el-GR"/>
              </w:rPr>
              <w:t xml:space="preserve"> ιλύος  και έχει τα παρακάτω χαρακτηριστικά:</w:t>
            </w:r>
          </w:p>
          <w:p w:rsidR="00D12D3C" w:rsidRPr="00364989" w:rsidRDefault="00D12D3C" w:rsidP="0000428E">
            <w:pPr>
              <w:rPr>
                <w:sz w:val="16"/>
                <w:szCs w:val="16"/>
                <w:lang w:val="el-GR"/>
              </w:rPr>
            </w:pPr>
          </w:p>
          <w:p w:rsidR="00D12D3C" w:rsidRPr="00364989" w:rsidRDefault="00D12D3C" w:rsidP="00D12D3C">
            <w:pPr>
              <w:numPr>
                <w:ilvl w:val="0"/>
                <w:numId w:val="1"/>
              </w:numPr>
              <w:suppressAutoHyphens w:val="0"/>
              <w:spacing w:after="0"/>
              <w:ind w:left="191" w:hanging="191"/>
              <w:rPr>
                <w:sz w:val="16"/>
                <w:szCs w:val="16"/>
              </w:rPr>
            </w:pPr>
            <w:r w:rsidRPr="00364989">
              <w:rPr>
                <w:sz w:val="16"/>
                <w:szCs w:val="16"/>
                <w:lang w:val="en-US"/>
              </w:rPr>
              <w:t>VSS/DSS</w:t>
            </w:r>
            <w:r w:rsidRPr="00364989">
              <w:rPr>
                <w:sz w:val="16"/>
                <w:szCs w:val="16"/>
              </w:rPr>
              <w:t xml:space="preserve"> = 75-80%</w:t>
            </w:r>
          </w:p>
          <w:p w:rsidR="00D12D3C" w:rsidRPr="00364989" w:rsidRDefault="00D12D3C" w:rsidP="00D12D3C">
            <w:pPr>
              <w:numPr>
                <w:ilvl w:val="0"/>
                <w:numId w:val="1"/>
              </w:numPr>
              <w:suppressAutoHyphens w:val="0"/>
              <w:spacing w:after="0"/>
              <w:ind w:left="191" w:hanging="191"/>
              <w:rPr>
                <w:sz w:val="16"/>
                <w:szCs w:val="16"/>
                <w:lang w:val="en-US"/>
              </w:rPr>
            </w:pPr>
            <w:proofErr w:type="spellStart"/>
            <w:r w:rsidRPr="00364989">
              <w:rPr>
                <w:sz w:val="16"/>
                <w:szCs w:val="16"/>
              </w:rPr>
              <w:t>Φόρτιση</w:t>
            </w:r>
            <w:proofErr w:type="spellEnd"/>
            <w:r w:rsidRPr="00364989">
              <w:rPr>
                <w:sz w:val="16"/>
                <w:szCs w:val="16"/>
                <w:lang w:val="en-US"/>
              </w:rPr>
              <w:t xml:space="preserve"> </w:t>
            </w:r>
            <w:proofErr w:type="spellStart"/>
            <w:r w:rsidRPr="00364989">
              <w:rPr>
                <w:sz w:val="16"/>
                <w:szCs w:val="16"/>
              </w:rPr>
              <w:t>στερρεών</w:t>
            </w:r>
            <w:proofErr w:type="spellEnd"/>
            <w:r w:rsidRPr="00364989">
              <w:rPr>
                <w:sz w:val="16"/>
                <w:szCs w:val="16"/>
                <w:lang w:val="en-US"/>
              </w:rPr>
              <w:t>: 800kg/h</w:t>
            </w:r>
          </w:p>
          <w:p w:rsidR="00D12D3C" w:rsidRPr="00364989" w:rsidRDefault="00D12D3C" w:rsidP="00D12D3C">
            <w:pPr>
              <w:numPr>
                <w:ilvl w:val="0"/>
                <w:numId w:val="1"/>
              </w:numPr>
              <w:suppressAutoHyphens w:val="0"/>
              <w:spacing w:after="0"/>
              <w:ind w:left="191" w:hanging="191"/>
              <w:rPr>
                <w:sz w:val="16"/>
                <w:szCs w:val="16"/>
              </w:rPr>
            </w:pPr>
            <w:proofErr w:type="spellStart"/>
            <w:r w:rsidRPr="00364989">
              <w:rPr>
                <w:sz w:val="16"/>
                <w:szCs w:val="16"/>
              </w:rPr>
              <w:t>Μέγιστη</w:t>
            </w:r>
            <w:proofErr w:type="spellEnd"/>
            <w:r w:rsidRPr="00364989">
              <w:rPr>
                <w:sz w:val="16"/>
                <w:szCs w:val="16"/>
              </w:rPr>
              <w:t xml:space="preserve"> </w:t>
            </w:r>
            <w:proofErr w:type="spellStart"/>
            <w:r w:rsidRPr="00364989">
              <w:rPr>
                <w:sz w:val="16"/>
                <w:szCs w:val="16"/>
              </w:rPr>
              <w:t>υδρ</w:t>
            </w:r>
            <w:proofErr w:type="spellEnd"/>
            <w:r w:rsidRPr="00364989">
              <w:rPr>
                <w:sz w:val="16"/>
                <w:szCs w:val="16"/>
              </w:rPr>
              <w:t>αυλική πα</w:t>
            </w:r>
            <w:proofErr w:type="spellStart"/>
            <w:r w:rsidRPr="00364989">
              <w:rPr>
                <w:sz w:val="16"/>
                <w:szCs w:val="16"/>
              </w:rPr>
              <w:t>ροχή</w:t>
            </w:r>
            <w:proofErr w:type="spellEnd"/>
            <w:r w:rsidRPr="00364989">
              <w:rPr>
                <w:sz w:val="16"/>
                <w:szCs w:val="16"/>
              </w:rPr>
              <w:t xml:space="preserve"> ≥ 40 </w:t>
            </w:r>
            <w:r w:rsidRPr="00364989">
              <w:rPr>
                <w:sz w:val="16"/>
                <w:szCs w:val="16"/>
                <w:lang w:val="en-US"/>
              </w:rPr>
              <w:t>m</w:t>
            </w:r>
            <w:r w:rsidRPr="00364989">
              <w:rPr>
                <w:sz w:val="16"/>
                <w:szCs w:val="16"/>
              </w:rPr>
              <w:t>3/</w:t>
            </w:r>
            <w:r w:rsidRPr="00364989">
              <w:rPr>
                <w:sz w:val="16"/>
                <w:szCs w:val="16"/>
                <w:lang w:val="en-US"/>
              </w:rPr>
              <w:t>h</w:t>
            </w:r>
          </w:p>
          <w:p w:rsidR="00D12D3C" w:rsidRPr="00364989" w:rsidRDefault="00D12D3C" w:rsidP="00D12D3C">
            <w:pPr>
              <w:numPr>
                <w:ilvl w:val="0"/>
                <w:numId w:val="1"/>
              </w:numPr>
              <w:suppressAutoHyphens w:val="0"/>
              <w:spacing w:after="0"/>
              <w:ind w:left="191" w:hanging="191"/>
              <w:rPr>
                <w:sz w:val="16"/>
                <w:szCs w:val="16"/>
                <w:lang w:val="el-GR"/>
              </w:rPr>
            </w:pPr>
            <w:r w:rsidRPr="00364989">
              <w:rPr>
                <w:sz w:val="16"/>
                <w:szCs w:val="16"/>
                <w:lang w:val="el-GR"/>
              </w:rPr>
              <w:t xml:space="preserve">Συγκέντρωση στερεών στην αφυδατωμένη </w:t>
            </w:r>
            <w:proofErr w:type="spellStart"/>
            <w:r w:rsidRPr="00364989">
              <w:rPr>
                <w:sz w:val="16"/>
                <w:szCs w:val="16"/>
                <w:lang w:val="el-GR"/>
              </w:rPr>
              <w:t>ιλύ</w:t>
            </w:r>
            <w:proofErr w:type="spellEnd"/>
            <w:r w:rsidRPr="00364989">
              <w:rPr>
                <w:sz w:val="16"/>
                <w:szCs w:val="16"/>
                <w:lang w:val="el-GR"/>
              </w:rPr>
              <w:t xml:space="preserve"> &gt; 20%</w:t>
            </w:r>
          </w:p>
          <w:p w:rsidR="00D12D3C" w:rsidRPr="00364989" w:rsidRDefault="00D12D3C" w:rsidP="00D12D3C">
            <w:pPr>
              <w:numPr>
                <w:ilvl w:val="0"/>
                <w:numId w:val="1"/>
              </w:numPr>
              <w:suppressAutoHyphens w:val="0"/>
              <w:spacing w:after="0"/>
              <w:ind w:left="191" w:hanging="191"/>
              <w:rPr>
                <w:sz w:val="16"/>
                <w:szCs w:val="16"/>
                <w:lang w:val="en-US"/>
              </w:rPr>
            </w:pPr>
            <w:r w:rsidRPr="00364989">
              <w:rPr>
                <w:sz w:val="16"/>
                <w:szCs w:val="16"/>
              </w:rPr>
              <w:t>Απ</w:t>
            </w:r>
            <w:proofErr w:type="spellStart"/>
            <w:r w:rsidRPr="00364989">
              <w:rPr>
                <w:sz w:val="16"/>
                <w:szCs w:val="16"/>
              </w:rPr>
              <w:t>ώλειες</w:t>
            </w:r>
            <w:proofErr w:type="spellEnd"/>
            <w:r w:rsidRPr="00364989">
              <w:rPr>
                <w:sz w:val="16"/>
                <w:szCs w:val="16"/>
              </w:rPr>
              <w:t xml:space="preserve"> </w:t>
            </w:r>
            <w:proofErr w:type="spellStart"/>
            <w:r w:rsidRPr="00364989">
              <w:rPr>
                <w:sz w:val="16"/>
                <w:szCs w:val="16"/>
              </w:rPr>
              <w:t>στερεών</w:t>
            </w:r>
            <w:proofErr w:type="spellEnd"/>
            <w:r w:rsidRPr="00364989">
              <w:rPr>
                <w:sz w:val="16"/>
                <w:szCs w:val="16"/>
                <w:lang w:val="en-US"/>
              </w:rPr>
              <w:t xml:space="preserve"> </w:t>
            </w:r>
            <w:proofErr w:type="spellStart"/>
            <w:r w:rsidRPr="00364989">
              <w:rPr>
                <w:sz w:val="16"/>
                <w:szCs w:val="16"/>
              </w:rPr>
              <w:t>στ</w:t>
            </w:r>
            <w:proofErr w:type="spellEnd"/>
            <w:r w:rsidRPr="00364989">
              <w:rPr>
                <w:sz w:val="16"/>
                <w:szCs w:val="16"/>
              </w:rPr>
              <w:t>α</w:t>
            </w:r>
            <w:r w:rsidRPr="00364989">
              <w:rPr>
                <w:sz w:val="16"/>
                <w:szCs w:val="16"/>
                <w:lang w:val="en-US"/>
              </w:rPr>
              <w:t xml:space="preserve"> </w:t>
            </w:r>
            <w:proofErr w:type="spellStart"/>
            <w:r w:rsidRPr="00364989">
              <w:rPr>
                <w:sz w:val="16"/>
                <w:szCs w:val="16"/>
                <w:lang w:val="en-US"/>
              </w:rPr>
              <w:t>στρ</w:t>
            </w:r>
            <w:proofErr w:type="spellEnd"/>
            <w:r w:rsidRPr="00364989">
              <w:rPr>
                <w:sz w:val="16"/>
                <w:szCs w:val="16"/>
                <w:lang w:val="en-US"/>
              </w:rPr>
              <w:t>αγγίδια &lt;</w:t>
            </w:r>
            <w:r w:rsidRPr="00364989">
              <w:rPr>
                <w:sz w:val="16"/>
                <w:szCs w:val="16"/>
              </w:rPr>
              <w:t xml:space="preserve"> </w:t>
            </w:r>
            <w:r w:rsidRPr="00364989">
              <w:rPr>
                <w:sz w:val="16"/>
                <w:szCs w:val="16"/>
                <w:lang w:val="en-US"/>
              </w:rPr>
              <w:t>5%</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Ο </w:t>
            </w:r>
            <w:proofErr w:type="spellStart"/>
            <w:r w:rsidRPr="00364989">
              <w:rPr>
                <w:sz w:val="16"/>
                <w:szCs w:val="16"/>
                <w:lang w:val="el-GR"/>
              </w:rPr>
              <w:t>φυγοκεντρητής</w:t>
            </w:r>
            <w:proofErr w:type="spellEnd"/>
            <w:r w:rsidRPr="00364989">
              <w:rPr>
                <w:sz w:val="16"/>
                <w:szCs w:val="16"/>
                <w:lang w:val="el-GR"/>
              </w:rPr>
              <w:t xml:space="preserve"> εγκαθίσταται πάνω σε μεταλλική βάση, μέσω ειδικών </w:t>
            </w:r>
            <w:proofErr w:type="spellStart"/>
            <w:r w:rsidRPr="00364989">
              <w:rPr>
                <w:sz w:val="16"/>
                <w:szCs w:val="16"/>
                <w:lang w:val="el-GR"/>
              </w:rPr>
              <w:t>αντικραδασμικών</w:t>
            </w:r>
            <w:proofErr w:type="spellEnd"/>
            <w:r w:rsidRPr="00364989">
              <w:rPr>
                <w:sz w:val="16"/>
                <w:szCs w:val="16"/>
                <w:lang w:val="el-GR"/>
              </w:rPr>
              <w:t xml:space="preserve"> ελαστικών στηριγμάτων, ώστε οι κραδασμοί να μην ξεπερνούν τα 4.5</w:t>
            </w:r>
            <w:r w:rsidRPr="00364989">
              <w:rPr>
                <w:sz w:val="16"/>
                <w:szCs w:val="16"/>
              </w:rPr>
              <w:t>mm</w:t>
            </w:r>
            <w:r w:rsidRPr="00364989">
              <w:rPr>
                <w:sz w:val="16"/>
                <w:szCs w:val="16"/>
                <w:lang w:val="el-GR"/>
              </w:rPr>
              <w:t>/</w:t>
            </w:r>
            <w:r w:rsidRPr="00364989">
              <w:rPr>
                <w:sz w:val="16"/>
                <w:szCs w:val="16"/>
              </w:rPr>
              <w:t>sec</w:t>
            </w:r>
            <w:r w:rsidRPr="00364989">
              <w:rPr>
                <w:sz w:val="16"/>
                <w:szCs w:val="16"/>
                <w:lang w:val="el-GR"/>
              </w:rPr>
              <w:t xml:space="preserve"> κατά </w:t>
            </w:r>
            <w:r w:rsidRPr="00364989">
              <w:rPr>
                <w:sz w:val="16"/>
                <w:szCs w:val="16"/>
              </w:rPr>
              <w:t>ISO</w:t>
            </w:r>
            <w:r w:rsidRPr="00364989">
              <w:rPr>
                <w:sz w:val="16"/>
                <w:szCs w:val="16"/>
                <w:lang w:val="el-GR"/>
              </w:rPr>
              <w:t xml:space="preserve"> 10816-1. Η ένταση του θορύβου δεν θα ξεπερνά τα 85 </w:t>
            </w:r>
            <w:r w:rsidRPr="00364989">
              <w:rPr>
                <w:sz w:val="16"/>
                <w:szCs w:val="16"/>
              </w:rPr>
              <w:t>dB</w:t>
            </w:r>
            <w:r w:rsidRPr="00364989">
              <w:rPr>
                <w:sz w:val="16"/>
                <w:szCs w:val="16"/>
                <w:lang w:val="el-GR"/>
              </w:rPr>
              <w:t>(</w:t>
            </w:r>
            <w:r w:rsidRPr="00364989">
              <w:rPr>
                <w:sz w:val="16"/>
                <w:szCs w:val="16"/>
              </w:rPr>
              <w:t>A</w:t>
            </w:r>
            <w:r w:rsidRPr="00364989">
              <w:rPr>
                <w:sz w:val="16"/>
                <w:szCs w:val="16"/>
                <w:lang w:val="el-GR"/>
              </w:rPr>
              <w:t>) σε απόσταση ενός μέτρου ακτινικά από το συγκρότημα κάτω από τις δυσμενέστερες συνθήκες λειτουργίας (π.χ. μέγιστη ταχύτητα τυμπάνου).</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Ο φυγόκεντρος διαχωριστήρας θα αποτελείται από περιστρεφόμενο φυγοκεντρικό τύμπανο που εσωτερικά θα φέρει κοχλία περιστρεφόμενο μαζί με το τύμπανο. Η είσοδος της προς αφυδάτωση λάσπης στο τύμπανο θα γίνεται μέσω ειδικού ομόκεντρου σωλήνα εισόδου που θα απορρίπτει τη λάσπη καταρχήν στο εσωτερικό του άξονα του κοχλία. Από το εσωτερικό του άξονα του κοχλία η λάσπη θα περνά μέσω των οπών στο εξωτερικό του κοχλία.</w:t>
            </w:r>
          </w:p>
          <w:p w:rsidR="00D12D3C" w:rsidRPr="00364989" w:rsidRDefault="00D12D3C" w:rsidP="0000428E">
            <w:pPr>
              <w:rPr>
                <w:sz w:val="16"/>
                <w:szCs w:val="16"/>
                <w:lang w:val="el-GR"/>
              </w:rPr>
            </w:pPr>
            <w:r w:rsidRPr="00364989">
              <w:rPr>
                <w:sz w:val="16"/>
                <w:szCs w:val="16"/>
                <w:lang w:val="el-GR"/>
              </w:rPr>
              <w:t>Για την τεχνική προδιαγραφή του συγκροτήματος βλέπε παράγραφο 6.3.2 Τεύχους Τεχνικών προδιαγραφών.</w:t>
            </w:r>
          </w:p>
          <w:p w:rsidR="00D12D3C" w:rsidRPr="00364989" w:rsidRDefault="00D12D3C" w:rsidP="0000428E">
            <w:pPr>
              <w:rPr>
                <w:sz w:val="16"/>
                <w:szCs w:val="16"/>
                <w:lang w:val="el-GR"/>
              </w:rPr>
            </w:pP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516"/>
        </w:trPr>
        <w:tc>
          <w:tcPr>
            <w:tcW w:w="10973" w:type="dxa"/>
            <w:gridSpan w:val="5"/>
            <w:vAlign w:val="center"/>
          </w:tcPr>
          <w:p w:rsidR="00D12D3C" w:rsidRPr="00364989" w:rsidRDefault="00D12D3C" w:rsidP="0000428E">
            <w:pPr>
              <w:rPr>
                <w:sz w:val="16"/>
                <w:szCs w:val="16"/>
              </w:rPr>
            </w:pPr>
            <w:r w:rsidRPr="00364989">
              <w:rPr>
                <w:b/>
                <w:sz w:val="16"/>
                <w:szCs w:val="16"/>
              </w:rPr>
              <w:t>4.ΑΠΟΜΑΚΡΥΝΣΗ ΙΛΥΟΣ</w:t>
            </w:r>
          </w:p>
        </w:tc>
      </w:tr>
      <w:tr w:rsidR="00D12D3C" w:rsidRPr="00364989" w:rsidTr="0000428E">
        <w:trPr>
          <w:trHeight w:val="3373"/>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4.1</w:t>
            </w:r>
          </w:p>
        </w:tc>
        <w:tc>
          <w:tcPr>
            <w:tcW w:w="4986" w:type="dxa"/>
            <w:vAlign w:val="center"/>
          </w:tcPr>
          <w:p w:rsidR="00D12D3C" w:rsidRPr="00364989" w:rsidRDefault="00D12D3C" w:rsidP="0000428E">
            <w:pPr>
              <w:rPr>
                <w:sz w:val="16"/>
                <w:szCs w:val="16"/>
                <w:lang w:val="el-GR"/>
              </w:rPr>
            </w:pPr>
            <w:r w:rsidRPr="00364989">
              <w:rPr>
                <w:sz w:val="16"/>
                <w:szCs w:val="16"/>
                <w:lang w:val="el-GR"/>
              </w:rPr>
              <w:t xml:space="preserve">Για την απομάκρυνση της αφυδατωμένης ιλύος από τον </w:t>
            </w:r>
            <w:proofErr w:type="spellStart"/>
            <w:r w:rsidRPr="00364989">
              <w:rPr>
                <w:sz w:val="16"/>
                <w:szCs w:val="16"/>
                <w:lang w:val="el-GR"/>
              </w:rPr>
              <w:t>φυγοκεντρητή</w:t>
            </w:r>
            <w:proofErr w:type="spellEnd"/>
            <w:r w:rsidRPr="00364989">
              <w:rPr>
                <w:sz w:val="16"/>
                <w:szCs w:val="16"/>
                <w:lang w:val="el-GR"/>
              </w:rPr>
              <w:t xml:space="preserve"> θα χρησιμοποιηθούν δύο κεκλιμένοι </w:t>
            </w:r>
            <w:proofErr w:type="spellStart"/>
            <w:r w:rsidRPr="00364989">
              <w:rPr>
                <w:sz w:val="16"/>
                <w:szCs w:val="16"/>
                <w:lang w:val="el-GR"/>
              </w:rPr>
              <w:t>κοχλιομεταφορείς</w:t>
            </w:r>
            <w:proofErr w:type="spellEnd"/>
            <w:r w:rsidRPr="00364989">
              <w:rPr>
                <w:sz w:val="16"/>
                <w:szCs w:val="16"/>
                <w:lang w:val="el-GR"/>
              </w:rPr>
              <w:t xml:space="preserve"> δυναμικότητας  τουλάχιστον  4 </w:t>
            </w:r>
            <w:r w:rsidRPr="00364989">
              <w:rPr>
                <w:sz w:val="16"/>
                <w:szCs w:val="16"/>
                <w:lang w:val="en-US"/>
              </w:rPr>
              <w:t>m</w:t>
            </w:r>
            <w:r w:rsidRPr="00364989">
              <w:rPr>
                <w:sz w:val="16"/>
                <w:szCs w:val="16"/>
                <w:vertAlign w:val="superscript"/>
                <w:lang w:val="el-GR"/>
              </w:rPr>
              <w:t>3</w:t>
            </w:r>
            <w:r w:rsidRPr="00364989">
              <w:rPr>
                <w:sz w:val="16"/>
                <w:szCs w:val="16"/>
                <w:lang w:val="el-GR"/>
              </w:rPr>
              <w:t>/</w:t>
            </w:r>
            <w:r w:rsidRPr="00364989">
              <w:rPr>
                <w:sz w:val="16"/>
                <w:szCs w:val="16"/>
                <w:lang w:val="en-US"/>
              </w:rPr>
              <w:t>h</w:t>
            </w:r>
            <w:r w:rsidRPr="00364989">
              <w:rPr>
                <w:sz w:val="16"/>
                <w:szCs w:val="16"/>
                <w:lang w:val="el-GR"/>
              </w:rPr>
              <w:t xml:space="preserve">. Το μήκος η κλίση και ο τρόπος σύνδεσης των </w:t>
            </w:r>
            <w:proofErr w:type="spellStart"/>
            <w:r w:rsidRPr="00364989">
              <w:rPr>
                <w:sz w:val="16"/>
                <w:szCs w:val="16"/>
                <w:lang w:val="el-GR"/>
              </w:rPr>
              <w:t>κοχλιομεταφορέων</w:t>
            </w:r>
            <w:proofErr w:type="spellEnd"/>
            <w:r w:rsidRPr="00364989">
              <w:rPr>
                <w:sz w:val="16"/>
                <w:szCs w:val="16"/>
                <w:lang w:val="el-GR"/>
              </w:rPr>
              <w:t xml:space="preserve"> θα είναι κατάλληλα για τη μεταφορά της αφυδατωμένης λάσπης από το φυγόκεντρο διαχωριστήρα μέχρι τον κάδο συλλογής ή το φορτηγό μεταφοράς σε ύψος απόρριψης τουλάχιστον 3,5 </w:t>
            </w:r>
            <w:r w:rsidRPr="00364989">
              <w:rPr>
                <w:sz w:val="16"/>
                <w:szCs w:val="16"/>
                <w:lang w:val="en-US"/>
              </w:rPr>
              <w:t>m</w:t>
            </w:r>
            <w:r w:rsidRPr="00364989">
              <w:rPr>
                <w:sz w:val="16"/>
                <w:szCs w:val="16"/>
                <w:lang w:val="el-GR"/>
              </w:rPr>
              <w:t xml:space="preserve"> από το δάπεδο στάθμευσης του κάδου. Ο τελικός κοχλίας θα διαθέτει κατάλληλη χοάνη που θα προσαρμόζεται στην έξοδο στερεών του </w:t>
            </w:r>
            <w:proofErr w:type="spellStart"/>
            <w:r w:rsidRPr="00364989">
              <w:rPr>
                <w:sz w:val="16"/>
                <w:szCs w:val="16"/>
                <w:lang w:val="el-GR"/>
              </w:rPr>
              <w:t>φυγοκεντρητή</w:t>
            </w:r>
            <w:proofErr w:type="spellEnd"/>
            <w:r w:rsidRPr="00364989">
              <w:rPr>
                <w:sz w:val="16"/>
                <w:szCs w:val="16"/>
                <w:lang w:val="el-GR"/>
              </w:rPr>
              <w:t xml:space="preserve">, ώστε να εξασφαλίζεται στεγανότητα, απορρόφηση κραδασμών και να αποφεύγεται συσσωμάτωση της ιλύος. Οι </w:t>
            </w:r>
            <w:proofErr w:type="spellStart"/>
            <w:r w:rsidRPr="00364989">
              <w:rPr>
                <w:sz w:val="16"/>
                <w:szCs w:val="16"/>
                <w:lang w:val="el-GR"/>
              </w:rPr>
              <w:t>κοχλιομεταφορείς</w:t>
            </w:r>
            <w:proofErr w:type="spellEnd"/>
            <w:r w:rsidRPr="00364989">
              <w:rPr>
                <w:sz w:val="16"/>
                <w:szCs w:val="16"/>
                <w:lang w:val="el-GR"/>
              </w:rPr>
              <w:t xml:space="preserve"> θα είναι κλειστοί, με περίβλημα από ανοξείδωτο χάλυβα </w:t>
            </w:r>
            <w:r w:rsidRPr="00364989">
              <w:rPr>
                <w:sz w:val="16"/>
                <w:szCs w:val="16"/>
                <w:lang w:val="en-US"/>
              </w:rPr>
              <w:t>AISI</w:t>
            </w:r>
            <w:r w:rsidRPr="00364989">
              <w:rPr>
                <w:sz w:val="16"/>
                <w:szCs w:val="16"/>
                <w:lang w:val="el-GR"/>
              </w:rPr>
              <w:t xml:space="preserve"> 304</w:t>
            </w:r>
            <w:r w:rsidRPr="00364989">
              <w:rPr>
                <w:sz w:val="16"/>
                <w:szCs w:val="16"/>
                <w:lang w:val="en-US"/>
              </w:rPr>
              <w:t>L</w:t>
            </w:r>
            <w:r w:rsidRPr="00364989">
              <w:rPr>
                <w:sz w:val="16"/>
                <w:szCs w:val="16"/>
                <w:lang w:val="el-GR"/>
              </w:rPr>
              <w:t>, θα έχουν κλίση μικρότερη από 20</w:t>
            </w:r>
            <w:r w:rsidRPr="00364989">
              <w:rPr>
                <w:sz w:val="16"/>
                <w:szCs w:val="16"/>
                <w:vertAlign w:val="superscript"/>
                <w:lang w:val="el-GR"/>
              </w:rPr>
              <w:t>ο</w:t>
            </w:r>
            <w:r w:rsidRPr="00364989">
              <w:rPr>
                <w:sz w:val="16"/>
                <w:szCs w:val="16"/>
                <w:lang w:val="el-GR"/>
              </w:rPr>
              <w:t xml:space="preserve">, διάμετρο κοχλία μεγαλύτερη από 300 </w:t>
            </w:r>
            <w:r w:rsidRPr="00364989">
              <w:rPr>
                <w:sz w:val="16"/>
                <w:szCs w:val="16"/>
                <w:lang w:val="en-US"/>
              </w:rPr>
              <w:t>mm</w:t>
            </w:r>
            <w:r w:rsidRPr="00364989">
              <w:rPr>
                <w:sz w:val="16"/>
                <w:szCs w:val="16"/>
                <w:lang w:val="el-GR"/>
              </w:rPr>
              <w:t xml:space="preserve"> θα διαθέτει διάταξη απορροής υγρών προς το παρακείμενο φρεάτιο </w:t>
            </w:r>
            <w:proofErr w:type="spellStart"/>
            <w:r w:rsidRPr="00364989">
              <w:rPr>
                <w:sz w:val="16"/>
                <w:szCs w:val="16"/>
                <w:lang w:val="el-GR"/>
              </w:rPr>
              <w:t>στραγγιδίων</w:t>
            </w:r>
            <w:proofErr w:type="spellEnd"/>
            <w:r w:rsidRPr="00364989">
              <w:rPr>
                <w:sz w:val="16"/>
                <w:szCs w:val="16"/>
                <w:lang w:val="el-GR"/>
              </w:rPr>
              <w:t xml:space="preserve">. </w:t>
            </w:r>
          </w:p>
          <w:p w:rsidR="00D12D3C" w:rsidRPr="00364989" w:rsidRDefault="00D12D3C" w:rsidP="0000428E">
            <w:pPr>
              <w:rPr>
                <w:sz w:val="16"/>
                <w:szCs w:val="16"/>
                <w:lang w:val="el-GR"/>
              </w:rPr>
            </w:pPr>
            <w:r w:rsidRPr="00364989">
              <w:rPr>
                <w:sz w:val="16"/>
                <w:szCs w:val="16"/>
                <w:lang w:val="el-GR"/>
              </w:rPr>
              <w:t xml:space="preserve">Για την τεχνική προδιαγραφή των </w:t>
            </w:r>
            <w:proofErr w:type="spellStart"/>
            <w:r w:rsidRPr="00364989">
              <w:rPr>
                <w:sz w:val="16"/>
                <w:szCs w:val="16"/>
                <w:lang w:val="el-GR"/>
              </w:rPr>
              <w:t>κοχλιομεταφορέων</w:t>
            </w:r>
            <w:proofErr w:type="spellEnd"/>
            <w:r w:rsidRPr="00364989">
              <w:rPr>
                <w:sz w:val="16"/>
                <w:szCs w:val="16"/>
                <w:lang w:val="el-GR"/>
              </w:rPr>
              <w:t xml:space="preserve"> βλέπε παράγραφο  5.3.2 Τεύχους Τεχνικών προδιαγραφών.</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331"/>
        </w:trPr>
        <w:tc>
          <w:tcPr>
            <w:tcW w:w="10973" w:type="dxa"/>
            <w:gridSpan w:val="5"/>
            <w:vAlign w:val="center"/>
          </w:tcPr>
          <w:p w:rsidR="00D12D3C" w:rsidRPr="00364989" w:rsidRDefault="00D12D3C" w:rsidP="0000428E">
            <w:pPr>
              <w:rPr>
                <w:sz w:val="16"/>
                <w:szCs w:val="16"/>
              </w:rPr>
            </w:pPr>
            <w:r w:rsidRPr="00364989">
              <w:rPr>
                <w:b/>
                <w:sz w:val="16"/>
                <w:szCs w:val="16"/>
              </w:rPr>
              <w:t>5. ΑΠΟΜΑΚΡΥΝΣΗ ΣΤΡΑΓΓΙΔΙΩΝ</w:t>
            </w:r>
          </w:p>
        </w:tc>
      </w:tr>
      <w:tr w:rsidR="00D12D3C" w:rsidRPr="00364989" w:rsidTr="0000428E">
        <w:trPr>
          <w:trHeight w:val="2084"/>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5.1</w:t>
            </w:r>
          </w:p>
        </w:tc>
        <w:tc>
          <w:tcPr>
            <w:tcW w:w="4986" w:type="dxa"/>
            <w:vAlign w:val="center"/>
          </w:tcPr>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Τα </w:t>
            </w:r>
            <w:proofErr w:type="spellStart"/>
            <w:r w:rsidRPr="00364989">
              <w:rPr>
                <w:sz w:val="16"/>
                <w:szCs w:val="16"/>
                <w:lang w:val="el-GR"/>
              </w:rPr>
              <w:t>στραγγίδια</w:t>
            </w:r>
            <w:proofErr w:type="spellEnd"/>
            <w:r w:rsidRPr="00364989">
              <w:rPr>
                <w:sz w:val="16"/>
                <w:szCs w:val="16"/>
                <w:lang w:val="el-GR"/>
              </w:rPr>
              <w:t xml:space="preserve"> από την αφυδάτωση της ιλύος θα απομακρύνονται από τον </w:t>
            </w:r>
            <w:proofErr w:type="spellStart"/>
            <w:r w:rsidRPr="00364989">
              <w:rPr>
                <w:sz w:val="16"/>
                <w:szCs w:val="16"/>
                <w:lang w:val="el-GR"/>
              </w:rPr>
              <w:t>φυγοκεντρητή</w:t>
            </w:r>
            <w:proofErr w:type="spellEnd"/>
            <w:r w:rsidRPr="00364989">
              <w:rPr>
                <w:sz w:val="16"/>
                <w:szCs w:val="16"/>
                <w:lang w:val="el-GR"/>
              </w:rPr>
              <w:t xml:space="preserve"> και θα διατίθενται στο παρακείμενο φρεάτιο </w:t>
            </w:r>
            <w:proofErr w:type="spellStart"/>
            <w:r w:rsidRPr="00364989">
              <w:rPr>
                <w:sz w:val="16"/>
                <w:szCs w:val="16"/>
                <w:lang w:val="el-GR"/>
              </w:rPr>
              <w:t>στραγγιδίων</w:t>
            </w:r>
            <w:proofErr w:type="spellEnd"/>
            <w:r w:rsidRPr="00364989">
              <w:rPr>
                <w:sz w:val="16"/>
                <w:szCs w:val="16"/>
                <w:lang w:val="el-GR"/>
              </w:rPr>
              <w:t xml:space="preserve"> της εγκατάστασης. Για το σκοπό αυτό θα προβλεφθεί κατάλληλη διάταξη απομάκρυνσης που θα συνδέεται με το στόμιο εξόδου των στραγγισμάτων του </w:t>
            </w:r>
            <w:proofErr w:type="spellStart"/>
            <w:r w:rsidRPr="00364989">
              <w:rPr>
                <w:sz w:val="16"/>
                <w:szCs w:val="16"/>
                <w:lang w:val="el-GR"/>
              </w:rPr>
              <w:t>φυγοκεντρητή</w:t>
            </w:r>
            <w:proofErr w:type="spellEnd"/>
            <w:r w:rsidRPr="00364989">
              <w:rPr>
                <w:sz w:val="16"/>
                <w:szCs w:val="16"/>
                <w:lang w:val="el-GR"/>
              </w:rPr>
              <w:t xml:space="preserve"> και θα εξασφαλίζεται στεγανότητα και περιορισμός εκλυόμενων οσμών. Η διάταξη απομάκρυνσης </w:t>
            </w:r>
            <w:proofErr w:type="spellStart"/>
            <w:r w:rsidRPr="00364989">
              <w:rPr>
                <w:sz w:val="16"/>
                <w:szCs w:val="16"/>
                <w:lang w:val="el-GR"/>
              </w:rPr>
              <w:t>στραγγιδίων</w:t>
            </w:r>
            <w:proofErr w:type="spellEnd"/>
            <w:r w:rsidRPr="00364989">
              <w:rPr>
                <w:sz w:val="16"/>
                <w:szCs w:val="16"/>
                <w:lang w:val="el-GR"/>
              </w:rPr>
              <w:t xml:space="preserve"> θα διαθέτει βάνα για τη λήψη δειγμάτων.</w:t>
            </w:r>
          </w:p>
          <w:p w:rsidR="00D12D3C" w:rsidRPr="00364989" w:rsidRDefault="00D12D3C" w:rsidP="0000428E">
            <w:pPr>
              <w:rPr>
                <w:sz w:val="16"/>
                <w:szCs w:val="16"/>
                <w:lang w:val="el-GR"/>
              </w:rPr>
            </w:pP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211"/>
        </w:trPr>
        <w:tc>
          <w:tcPr>
            <w:tcW w:w="10973" w:type="dxa"/>
            <w:gridSpan w:val="5"/>
            <w:vAlign w:val="center"/>
          </w:tcPr>
          <w:p w:rsidR="00D12D3C" w:rsidRPr="00364989" w:rsidRDefault="00D12D3C" w:rsidP="0000428E">
            <w:pPr>
              <w:rPr>
                <w:sz w:val="16"/>
                <w:szCs w:val="16"/>
              </w:rPr>
            </w:pPr>
            <w:r w:rsidRPr="00364989">
              <w:rPr>
                <w:b/>
                <w:sz w:val="16"/>
                <w:szCs w:val="16"/>
              </w:rPr>
              <w:t>6.ΗΛΕΚΤΡΙΚΟΣ ΠΙΝΑΚΑΣ</w:t>
            </w:r>
          </w:p>
        </w:tc>
      </w:tr>
      <w:tr w:rsidR="00D12D3C" w:rsidRPr="00364989" w:rsidTr="0000428E">
        <w:trPr>
          <w:trHeight w:val="6286"/>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lastRenderedPageBreak/>
              <w:t>6.1</w:t>
            </w:r>
          </w:p>
        </w:tc>
        <w:tc>
          <w:tcPr>
            <w:tcW w:w="4986" w:type="dxa"/>
            <w:vAlign w:val="center"/>
          </w:tcPr>
          <w:p w:rsidR="00D12D3C" w:rsidRPr="00364989" w:rsidRDefault="00D12D3C" w:rsidP="0000428E">
            <w:pPr>
              <w:rPr>
                <w:sz w:val="16"/>
                <w:szCs w:val="16"/>
              </w:rPr>
            </w:pPr>
            <w:r w:rsidRPr="00364989">
              <w:rPr>
                <w:sz w:val="16"/>
                <w:szCs w:val="16"/>
                <w:lang w:val="el-GR"/>
              </w:rPr>
              <w:t xml:space="preserve">Η λειτουργία της μονάδας αφυδάτωσης θα ελέγχεται από τοπικό πίνακα και θα έχει δυνατότητα επικοινωνίας με το </w:t>
            </w:r>
            <w:r w:rsidRPr="00364989">
              <w:rPr>
                <w:sz w:val="16"/>
                <w:szCs w:val="16"/>
                <w:lang w:val="en-US"/>
              </w:rPr>
              <w:t>SCADA</w:t>
            </w:r>
            <w:r w:rsidRPr="00364989">
              <w:rPr>
                <w:sz w:val="16"/>
                <w:szCs w:val="16"/>
                <w:lang w:val="el-GR"/>
              </w:rPr>
              <w:t xml:space="preserve"> της εγκατάστασης. </w:t>
            </w:r>
            <w:proofErr w:type="spellStart"/>
            <w:r w:rsidRPr="00364989">
              <w:rPr>
                <w:sz w:val="16"/>
                <w:szCs w:val="16"/>
              </w:rPr>
              <w:t>Μέσω</w:t>
            </w:r>
            <w:proofErr w:type="spellEnd"/>
            <w:r w:rsidRPr="00364989">
              <w:rPr>
                <w:sz w:val="16"/>
                <w:szCs w:val="16"/>
              </w:rPr>
              <w:t xml:space="preserve"> </w:t>
            </w:r>
            <w:proofErr w:type="spellStart"/>
            <w:r w:rsidRPr="00364989">
              <w:rPr>
                <w:sz w:val="16"/>
                <w:szCs w:val="16"/>
              </w:rPr>
              <w:t>του</w:t>
            </w:r>
            <w:proofErr w:type="spellEnd"/>
            <w:r w:rsidRPr="00364989">
              <w:rPr>
                <w:sz w:val="16"/>
                <w:szCs w:val="16"/>
              </w:rPr>
              <w:t xml:space="preserve"> π</w:t>
            </w:r>
            <w:proofErr w:type="spellStart"/>
            <w:r w:rsidRPr="00364989">
              <w:rPr>
                <w:sz w:val="16"/>
                <w:szCs w:val="16"/>
              </w:rPr>
              <w:t>ίν</w:t>
            </w:r>
            <w:proofErr w:type="spellEnd"/>
            <w:r w:rsidRPr="00364989">
              <w:rPr>
                <w:sz w:val="16"/>
                <w:szCs w:val="16"/>
              </w:rPr>
              <w:t>ακα θα πα</w:t>
            </w:r>
            <w:proofErr w:type="spellStart"/>
            <w:r w:rsidRPr="00364989">
              <w:rPr>
                <w:sz w:val="16"/>
                <w:szCs w:val="16"/>
              </w:rPr>
              <w:t>ρέχοντ</w:t>
            </w:r>
            <w:proofErr w:type="spellEnd"/>
            <w:r w:rsidRPr="00364989">
              <w:rPr>
                <w:sz w:val="16"/>
                <w:szCs w:val="16"/>
              </w:rPr>
              <w:t xml:space="preserve">αι </w:t>
            </w:r>
            <w:proofErr w:type="spellStart"/>
            <w:r w:rsidRPr="00364989">
              <w:rPr>
                <w:sz w:val="16"/>
                <w:szCs w:val="16"/>
              </w:rPr>
              <w:t>οι</w:t>
            </w:r>
            <w:proofErr w:type="spellEnd"/>
            <w:r w:rsidRPr="00364989">
              <w:rPr>
                <w:sz w:val="16"/>
                <w:szCs w:val="16"/>
              </w:rPr>
              <w:t xml:space="preserve"> παρα</w:t>
            </w:r>
            <w:proofErr w:type="spellStart"/>
            <w:r w:rsidRPr="00364989">
              <w:rPr>
                <w:sz w:val="16"/>
                <w:szCs w:val="16"/>
              </w:rPr>
              <w:t>κάτω</w:t>
            </w:r>
            <w:proofErr w:type="spellEnd"/>
            <w:r w:rsidRPr="00364989">
              <w:rPr>
                <w:sz w:val="16"/>
                <w:szCs w:val="16"/>
              </w:rPr>
              <w:t xml:space="preserve"> </w:t>
            </w:r>
            <w:proofErr w:type="spellStart"/>
            <w:r w:rsidRPr="00364989">
              <w:rPr>
                <w:sz w:val="16"/>
                <w:szCs w:val="16"/>
              </w:rPr>
              <w:t>δυν</w:t>
            </w:r>
            <w:proofErr w:type="spellEnd"/>
            <w:r w:rsidRPr="00364989">
              <w:rPr>
                <w:sz w:val="16"/>
                <w:szCs w:val="16"/>
              </w:rPr>
              <w:t>ατότητες:</w:t>
            </w:r>
          </w:p>
          <w:p w:rsidR="00D12D3C" w:rsidRPr="00364989" w:rsidRDefault="00D12D3C" w:rsidP="00D12D3C">
            <w:pPr>
              <w:numPr>
                <w:ilvl w:val="0"/>
                <w:numId w:val="2"/>
              </w:numPr>
              <w:suppressAutoHyphens w:val="0"/>
              <w:spacing w:after="0"/>
              <w:jc w:val="left"/>
              <w:rPr>
                <w:sz w:val="16"/>
                <w:szCs w:val="16"/>
                <w:lang w:val="el-GR"/>
              </w:rPr>
            </w:pPr>
            <w:r w:rsidRPr="00364989">
              <w:rPr>
                <w:sz w:val="16"/>
                <w:szCs w:val="16"/>
                <w:lang w:val="el-GR"/>
              </w:rPr>
              <w:t xml:space="preserve">Έλεγχος </w:t>
            </w:r>
            <w:proofErr w:type="spellStart"/>
            <w:r w:rsidRPr="00364989">
              <w:rPr>
                <w:sz w:val="16"/>
                <w:szCs w:val="16"/>
                <w:lang w:val="el-GR"/>
              </w:rPr>
              <w:t>φυγοκεντρητή</w:t>
            </w:r>
            <w:proofErr w:type="spellEnd"/>
            <w:r w:rsidRPr="00364989">
              <w:rPr>
                <w:sz w:val="16"/>
                <w:szCs w:val="16"/>
                <w:lang w:val="el-GR"/>
              </w:rPr>
              <w:t xml:space="preserve"> και περιφερειακού εξοπλισμού (αντλιών λάσπης, αντλιών </w:t>
            </w:r>
            <w:proofErr w:type="spellStart"/>
            <w:r w:rsidRPr="00364989">
              <w:rPr>
                <w:sz w:val="16"/>
                <w:szCs w:val="16"/>
                <w:lang w:val="el-GR"/>
              </w:rPr>
              <w:t>πολυηλεκτρολύτη</w:t>
            </w:r>
            <w:proofErr w:type="spellEnd"/>
            <w:r w:rsidRPr="00364989">
              <w:rPr>
                <w:sz w:val="16"/>
                <w:szCs w:val="16"/>
                <w:lang w:val="el-GR"/>
              </w:rPr>
              <w:t>, κοχλιών)</w:t>
            </w:r>
          </w:p>
          <w:p w:rsidR="00D12D3C" w:rsidRPr="00364989" w:rsidRDefault="00D12D3C" w:rsidP="00D12D3C">
            <w:pPr>
              <w:numPr>
                <w:ilvl w:val="0"/>
                <w:numId w:val="2"/>
              </w:numPr>
              <w:suppressAutoHyphens w:val="0"/>
              <w:spacing w:after="0"/>
              <w:jc w:val="left"/>
              <w:rPr>
                <w:sz w:val="16"/>
                <w:szCs w:val="16"/>
              </w:rPr>
            </w:pPr>
            <w:proofErr w:type="spellStart"/>
            <w:r w:rsidRPr="00364989">
              <w:rPr>
                <w:sz w:val="16"/>
                <w:szCs w:val="16"/>
              </w:rPr>
              <w:t>Εκκίνηση</w:t>
            </w:r>
            <w:proofErr w:type="spellEnd"/>
            <w:r w:rsidRPr="00364989">
              <w:rPr>
                <w:sz w:val="16"/>
                <w:szCs w:val="16"/>
              </w:rPr>
              <w:t xml:space="preserve"> </w:t>
            </w:r>
            <w:proofErr w:type="spellStart"/>
            <w:r w:rsidRPr="00364989">
              <w:rPr>
                <w:sz w:val="16"/>
                <w:szCs w:val="16"/>
              </w:rPr>
              <w:t>μονάδ</w:t>
            </w:r>
            <w:proofErr w:type="spellEnd"/>
            <w:r w:rsidRPr="00364989">
              <w:rPr>
                <w:sz w:val="16"/>
                <w:szCs w:val="16"/>
              </w:rPr>
              <w:t>ας</w:t>
            </w:r>
          </w:p>
          <w:p w:rsidR="00D12D3C" w:rsidRPr="00364989" w:rsidRDefault="00D12D3C" w:rsidP="00D12D3C">
            <w:pPr>
              <w:numPr>
                <w:ilvl w:val="0"/>
                <w:numId w:val="2"/>
              </w:numPr>
              <w:suppressAutoHyphens w:val="0"/>
              <w:spacing w:after="0"/>
              <w:jc w:val="left"/>
              <w:rPr>
                <w:sz w:val="16"/>
                <w:szCs w:val="16"/>
              </w:rPr>
            </w:pPr>
            <w:proofErr w:type="spellStart"/>
            <w:r w:rsidRPr="00364989">
              <w:rPr>
                <w:sz w:val="16"/>
                <w:szCs w:val="16"/>
              </w:rPr>
              <w:t>Δι</w:t>
            </w:r>
            <w:proofErr w:type="spellEnd"/>
            <w:r w:rsidRPr="00364989">
              <w:rPr>
                <w:sz w:val="16"/>
                <w:szCs w:val="16"/>
              </w:rPr>
              <w:t>αδικασία πα</w:t>
            </w:r>
            <w:proofErr w:type="spellStart"/>
            <w:r w:rsidRPr="00364989">
              <w:rPr>
                <w:sz w:val="16"/>
                <w:szCs w:val="16"/>
              </w:rPr>
              <w:t>ύσης</w:t>
            </w:r>
            <w:proofErr w:type="spellEnd"/>
            <w:r w:rsidRPr="00364989">
              <w:rPr>
                <w:sz w:val="16"/>
                <w:szCs w:val="16"/>
              </w:rPr>
              <w:t xml:space="preserve"> </w:t>
            </w:r>
            <w:proofErr w:type="spellStart"/>
            <w:r w:rsidRPr="00364989">
              <w:rPr>
                <w:sz w:val="16"/>
                <w:szCs w:val="16"/>
              </w:rPr>
              <w:t>λειτουργί</w:t>
            </w:r>
            <w:proofErr w:type="spellEnd"/>
            <w:r w:rsidRPr="00364989">
              <w:rPr>
                <w:sz w:val="16"/>
                <w:szCs w:val="16"/>
              </w:rPr>
              <w:t>ας</w:t>
            </w:r>
          </w:p>
          <w:p w:rsidR="00D12D3C" w:rsidRPr="00364989" w:rsidRDefault="00D12D3C" w:rsidP="00D12D3C">
            <w:pPr>
              <w:numPr>
                <w:ilvl w:val="0"/>
                <w:numId w:val="2"/>
              </w:numPr>
              <w:suppressAutoHyphens w:val="0"/>
              <w:spacing w:after="0"/>
              <w:jc w:val="left"/>
              <w:rPr>
                <w:sz w:val="16"/>
                <w:szCs w:val="16"/>
                <w:lang w:val="el-GR"/>
              </w:rPr>
            </w:pPr>
            <w:r w:rsidRPr="00364989">
              <w:rPr>
                <w:sz w:val="16"/>
                <w:szCs w:val="16"/>
                <w:lang w:val="el-GR"/>
              </w:rPr>
              <w:t xml:space="preserve">Λειτουργία </w:t>
            </w:r>
            <w:r w:rsidRPr="00364989">
              <w:rPr>
                <w:sz w:val="16"/>
                <w:szCs w:val="16"/>
                <w:lang w:val="en-US"/>
              </w:rPr>
              <w:t>manual</w:t>
            </w:r>
            <w:r w:rsidRPr="00364989">
              <w:rPr>
                <w:sz w:val="16"/>
                <w:szCs w:val="16"/>
                <w:lang w:val="el-GR"/>
              </w:rPr>
              <w:t>/</w:t>
            </w:r>
            <w:r w:rsidRPr="00364989">
              <w:rPr>
                <w:sz w:val="16"/>
                <w:szCs w:val="16"/>
                <w:lang w:val="en-US"/>
              </w:rPr>
              <w:t>auto</w:t>
            </w:r>
            <w:r w:rsidRPr="00364989">
              <w:rPr>
                <w:sz w:val="16"/>
                <w:szCs w:val="16"/>
                <w:lang w:val="el-GR"/>
              </w:rPr>
              <w:t xml:space="preserve"> του επιμέρους εξοπλισμού</w:t>
            </w:r>
          </w:p>
          <w:p w:rsidR="00D12D3C" w:rsidRPr="00364989" w:rsidRDefault="00D12D3C" w:rsidP="0000428E">
            <w:pPr>
              <w:rPr>
                <w:sz w:val="16"/>
                <w:szCs w:val="16"/>
                <w:u w:val="single"/>
                <w:lang w:val="el-GR"/>
              </w:rPr>
            </w:pPr>
            <w:r w:rsidRPr="00364989">
              <w:rPr>
                <w:sz w:val="16"/>
                <w:szCs w:val="16"/>
                <w:u w:val="single"/>
                <w:lang w:val="el-GR"/>
              </w:rPr>
              <w:t>Κατασκευή:</w:t>
            </w:r>
          </w:p>
          <w:p w:rsidR="00D12D3C" w:rsidRPr="00364989" w:rsidRDefault="00D12D3C" w:rsidP="0000428E">
            <w:pPr>
              <w:rPr>
                <w:sz w:val="16"/>
                <w:szCs w:val="16"/>
                <w:lang w:val="el-GR"/>
              </w:rPr>
            </w:pPr>
            <w:r w:rsidRPr="00364989">
              <w:rPr>
                <w:sz w:val="16"/>
                <w:szCs w:val="16"/>
                <w:lang w:val="el-GR"/>
              </w:rPr>
              <w:t>Ερμάριο με πόδια στήριξης: Βαμμένος χάλυβας</w:t>
            </w:r>
          </w:p>
          <w:p w:rsidR="00D12D3C" w:rsidRPr="00364989" w:rsidRDefault="00D12D3C" w:rsidP="0000428E">
            <w:pPr>
              <w:rPr>
                <w:sz w:val="16"/>
                <w:szCs w:val="16"/>
                <w:lang w:val="el-GR"/>
              </w:rPr>
            </w:pPr>
            <w:r w:rsidRPr="00364989">
              <w:rPr>
                <w:sz w:val="16"/>
                <w:szCs w:val="16"/>
                <w:lang w:val="el-GR"/>
              </w:rPr>
              <w:t>Μηχανικός αερισμός: Λειτουργία βάσει θερμοστάτη</w:t>
            </w:r>
          </w:p>
          <w:p w:rsidR="00D12D3C" w:rsidRPr="00364989" w:rsidRDefault="00D12D3C" w:rsidP="0000428E">
            <w:pPr>
              <w:rPr>
                <w:sz w:val="16"/>
                <w:szCs w:val="16"/>
                <w:lang w:val="el-GR"/>
              </w:rPr>
            </w:pPr>
            <w:r w:rsidRPr="00364989">
              <w:rPr>
                <w:sz w:val="16"/>
                <w:szCs w:val="16"/>
                <w:lang w:val="el-GR"/>
              </w:rPr>
              <w:t xml:space="preserve">Προστασία: </w:t>
            </w:r>
            <w:r w:rsidRPr="00364989">
              <w:rPr>
                <w:sz w:val="16"/>
                <w:szCs w:val="16"/>
                <w:lang w:val="en-US"/>
              </w:rPr>
              <w:t>IP</w:t>
            </w:r>
            <w:r w:rsidRPr="00364989">
              <w:rPr>
                <w:sz w:val="16"/>
                <w:szCs w:val="16"/>
                <w:lang w:val="el-GR"/>
              </w:rPr>
              <w:t>55</w:t>
            </w:r>
          </w:p>
          <w:p w:rsidR="00D12D3C" w:rsidRPr="00364989" w:rsidRDefault="00D12D3C" w:rsidP="0000428E">
            <w:pPr>
              <w:rPr>
                <w:sz w:val="16"/>
                <w:szCs w:val="16"/>
                <w:lang w:val="el-GR"/>
              </w:rPr>
            </w:pPr>
            <w:r w:rsidRPr="00364989">
              <w:rPr>
                <w:sz w:val="16"/>
                <w:szCs w:val="16"/>
                <w:lang w:val="el-GR"/>
              </w:rPr>
              <w:t>Ο τοπικός ηλεκτρικός πίνακας θα έχει ενδείξεις των παρακάτω τουλάχιστον παραμέτρων στην μετώπη και τη ρύθμιση τους:</w:t>
            </w:r>
          </w:p>
          <w:p w:rsidR="00D12D3C" w:rsidRPr="00364989" w:rsidRDefault="00D12D3C" w:rsidP="00D12D3C">
            <w:pPr>
              <w:numPr>
                <w:ilvl w:val="0"/>
                <w:numId w:val="2"/>
              </w:numPr>
              <w:suppressAutoHyphens w:val="0"/>
              <w:spacing w:after="0"/>
              <w:rPr>
                <w:sz w:val="16"/>
                <w:szCs w:val="16"/>
                <w:lang w:val="el-GR"/>
              </w:rPr>
            </w:pPr>
            <w:r w:rsidRPr="00364989">
              <w:rPr>
                <w:sz w:val="16"/>
                <w:szCs w:val="16"/>
                <w:lang w:val="el-GR"/>
              </w:rPr>
              <w:t xml:space="preserve">Ροπή κοχλία και </w:t>
            </w:r>
            <w:r w:rsidRPr="00364989">
              <w:rPr>
                <w:sz w:val="16"/>
                <w:szCs w:val="16"/>
              </w:rPr>
              <w:t>set</w:t>
            </w:r>
            <w:r w:rsidRPr="00364989">
              <w:rPr>
                <w:sz w:val="16"/>
                <w:szCs w:val="16"/>
                <w:lang w:val="el-GR"/>
              </w:rPr>
              <w:t xml:space="preserve"> </w:t>
            </w:r>
            <w:r w:rsidRPr="00364989">
              <w:rPr>
                <w:sz w:val="16"/>
                <w:szCs w:val="16"/>
              </w:rPr>
              <w:t>point</w:t>
            </w:r>
            <w:r w:rsidRPr="00364989">
              <w:rPr>
                <w:sz w:val="16"/>
                <w:szCs w:val="16"/>
                <w:lang w:val="el-GR"/>
              </w:rPr>
              <w:t xml:space="preserve"> ροπής </w:t>
            </w:r>
          </w:p>
          <w:p w:rsidR="00D12D3C" w:rsidRPr="00364989" w:rsidRDefault="00D12D3C" w:rsidP="00D12D3C">
            <w:pPr>
              <w:numPr>
                <w:ilvl w:val="0"/>
                <w:numId w:val="2"/>
              </w:numPr>
              <w:suppressAutoHyphens w:val="0"/>
              <w:spacing w:after="0"/>
              <w:rPr>
                <w:sz w:val="16"/>
                <w:szCs w:val="16"/>
              </w:rPr>
            </w:pPr>
            <w:r w:rsidRPr="00364989">
              <w:rPr>
                <w:sz w:val="16"/>
                <w:szCs w:val="16"/>
              </w:rPr>
              <w:t>Τα</w:t>
            </w:r>
            <w:proofErr w:type="spellStart"/>
            <w:r w:rsidRPr="00364989">
              <w:rPr>
                <w:sz w:val="16"/>
                <w:szCs w:val="16"/>
              </w:rPr>
              <w:t>χύτητ</w:t>
            </w:r>
            <w:proofErr w:type="spellEnd"/>
            <w:r w:rsidRPr="00364989">
              <w:rPr>
                <w:sz w:val="16"/>
                <w:szCs w:val="16"/>
              </w:rPr>
              <w:t xml:space="preserve">α </w:t>
            </w:r>
            <w:proofErr w:type="spellStart"/>
            <w:r w:rsidRPr="00364989">
              <w:rPr>
                <w:sz w:val="16"/>
                <w:szCs w:val="16"/>
              </w:rPr>
              <w:t>τυμ</w:t>
            </w:r>
            <w:proofErr w:type="spellEnd"/>
            <w:r w:rsidRPr="00364989">
              <w:rPr>
                <w:sz w:val="16"/>
                <w:szCs w:val="16"/>
              </w:rPr>
              <w:t>πάνου</w:t>
            </w:r>
          </w:p>
          <w:p w:rsidR="00D12D3C" w:rsidRPr="00364989" w:rsidRDefault="00D12D3C" w:rsidP="00D12D3C">
            <w:pPr>
              <w:numPr>
                <w:ilvl w:val="0"/>
                <w:numId w:val="2"/>
              </w:numPr>
              <w:suppressAutoHyphens w:val="0"/>
              <w:spacing w:after="0"/>
              <w:rPr>
                <w:sz w:val="16"/>
                <w:szCs w:val="16"/>
              </w:rPr>
            </w:pPr>
            <w:proofErr w:type="spellStart"/>
            <w:r w:rsidRPr="00364989">
              <w:rPr>
                <w:sz w:val="16"/>
                <w:szCs w:val="16"/>
              </w:rPr>
              <w:t>Δι</w:t>
            </w:r>
            <w:proofErr w:type="spellEnd"/>
            <w:r w:rsidRPr="00364989">
              <w:rPr>
                <w:sz w:val="16"/>
                <w:szCs w:val="16"/>
              </w:rPr>
              <w:t>αφορική τα</w:t>
            </w:r>
            <w:proofErr w:type="spellStart"/>
            <w:r w:rsidRPr="00364989">
              <w:rPr>
                <w:sz w:val="16"/>
                <w:szCs w:val="16"/>
              </w:rPr>
              <w:t>χύτητ</w:t>
            </w:r>
            <w:proofErr w:type="spellEnd"/>
            <w:r w:rsidRPr="00364989">
              <w:rPr>
                <w:sz w:val="16"/>
                <w:szCs w:val="16"/>
              </w:rPr>
              <w:t xml:space="preserve">α </w:t>
            </w:r>
            <w:proofErr w:type="spellStart"/>
            <w:r w:rsidRPr="00364989">
              <w:rPr>
                <w:sz w:val="16"/>
                <w:szCs w:val="16"/>
              </w:rPr>
              <w:t>τυμ</w:t>
            </w:r>
            <w:proofErr w:type="spellEnd"/>
            <w:r w:rsidRPr="00364989">
              <w:rPr>
                <w:sz w:val="16"/>
                <w:szCs w:val="16"/>
              </w:rPr>
              <w:t>πάνου-κοχλία</w:t>
            </w:r>
          </w:p>
          <w:p w:rsidR="00D12D3C" w:rsidRPr="00364989" w:rsidRDefault="00D12D3C" w:rsidP="00D12D3C">
            <w:pPr>
              <w:numPr>
                <w:ilvl w:val="0"/>
                <w:numId w:val="2"/>
              </w:numPr>
              <w:suppressAutoHyphens w:val="0"/>
              <w:spacing w:after="0"/>
              <w:rPr>
                <w:sz w:val="16"/>
                <w:szCs w:val="16"/>
                <w:lang w:val="el-GR"/>
              </w:rPr>
            </w:pPr>
            <w:r w:rsidRPr="00364989">
              <w:rPr>
                <w:sz w:val="16"/>
                <w:szCs w:val="16"/>
                <w:lang w:val="el-GR"/>
              </w:rPr>
              <w:t>Θερμοκρασία εδράνων ή/και στάθμη ελαίου</w:t>
            </w:r>
          </w:p>
          <w:p w:rsidR="00D12D3C" w:rsidRPr="00364989" w:rsidRDefault="00D12D3C" w:rsidP="0000428E">
            <w:pPr>
              <w:suppressAutoHyphens w:val="0"/>
              <w:spacing w:after="0"/>
              <w:rPr>
                <w:sz w:val="16"/>
                <w:szCs w:val="16"/>
                <w:lang w:val="el-GR"/>
              </w:rPr>
            </w:pPr>
          </w:p>
          <w:p w:rsidR="00D12D3C" w:rsidRPr="00364989" w:rsidRDefault="00D12D3C" w:rsidP="0000428E">
            <w:pPr>
              <w:rPr>
                <w:sz w:val="16"/>
                <w:szCs w:val="16"/>
                <w:lang w:val="el-GR"/>
              </w:rPr>
            </w:pPr>
            <w:r w:rsidRPr="00364989">
              <w:rPr>
                <w:sz w:val="16"/>
                <w:szCs w:val="16"/>
                <w:lang w:val="el-GR"/>
              </w:rPr>
              <w:t>Ο τοπικός ηλεκτρικός πίνακας θα έχει ενδείξεις των παρακάτω τουλάχιστον παραμέτρων στην μετώπη σε ανεξάρτητα όργανα:</w:t>
            </w:r>
          </w:p>
          <w:p w:rsidR="00D12D3C" w:rsidRPr="00364989" w:rsidRDefault="00D12D3C" w:rsidP="00D12D3C">
            <w:pPr>
              <w:numPr>
                <w:ilvl w:val="0"/>
                <w:numId w:val="2"/>
              </w:numPr>
              <w:suppressAutoHyphens w:val="0"/>
              <w:spacing w:after="0"/>
              <w:rPr>
                <w:sz w:val="16"/>
                <w:szCs w:val="16"/>
              </w:rPr>
            </w:pPr>
            <w:r w:rsidRPr="00364989">
              <w:rPr>
                <w:sz w:val="16"/>
                <w:szCs w:val="16"/>
              </w:rPr>
              <w:t>Πα</w:t>
            </w:r>
            <w:proofErr w:type="spellStart"/>
            <w:r w:rsidRPr="00364989">
              <w:rPr>
                <w:sz w:val="16"/>
                <w:szCs w:val="16"/>
              </w:rPr>
              <w:t>ροχή</w:t>
            </w:r>
            <w:proofErr w:type="spellEnd"/>
            <w:r w:rsidRPr="00364989">
              <w:rPr>
                <w:sz w:val="16"/>
                <w:szCs w:val="16"/>
              </w:rPr>
              <w:t xml:space="preserve"> α</w:t>
            </w:r>
            <w:proofErr w:type="spellStart"/>
            <w:r w:rsidRPr="00364989">
              <w:rPr>
                <w:sz w:val="16"/>
                <w:szCs w:val="16"/>
              </w:rPr>
              <w:t>ντλί</w:t>
            </w:r>
            <w:proofErr w:type="spellEnd"/>
            <w:r w:rsidRPr="00364989">
              <w:rPr>
                <w:sz w:val="16"/>
                <w:szCs w:val="16"/>
              </w:rPr>
              <w:t xml:space="preserve">ας </w:t>
            </w:r>
            <w:proofErr w:type="spellStart"/>
            <w:r w:rsidRPr="00364989">
              <w:rPr>
                <w:sz w:val="16"/>
                <w:szCs w:val="16"/>
              </w:rPr>
              <w:t>λάσ</w:t>
            </w:r>
            <w:proofErr w:type="spellEnd"/>
            <w:r w:rsidRPr="00364989">
              <w:rPr>
                <w:sz w:val="16"/>
                <w:szCs w:val="16"/>
              </w:rPr>
              <w:t>πης</w:t>
            </w:r>
          </w:p>
          <w:p w:rsidR="00D12D3C" w:rsidRPr="00364989" w:rsidRDefault="00D12D3C" w:rsidP="00D12D3C">
            <w:pPr>
              <w:numPr>
                <w:ilvl w:val="0"/>
                <w:numId w:val="2"/>
              </w:numPr>
              <w:suppressAutoHyphens w:val="0"/>
              <w:spacing w:after="0"/>
              <w:rPr>
                <w:sz w:val="16"/>
                <w:szCs w:val="16"/>
              </w:rPr>
            </w:pPr>
            <w:r w:rsidRPr="00364989">
              <w:rPr>
                <w:sz w:val="16"/>
                <w:szCs w:val="16"/>
              </w:rPr>
              <w:t>Πα</w:t>
            </w:r>
            <w:proofErr w:type="spellStart"/>
            <w:r w:rsidRPr="00364989">
              <w:rPr>
                <w:sz w:val="16"/>
                <w:szCs w:val="16"/>
              </w:rPr>
              <w:t>ροχή</w:t>
            </w:r>
            <w:proofErr w:type="spellEnd"/>
            <w:r w:rsidRPr="00364989">
              <w:rPr>
                <w:sz w:val="16"/>
                <w:szCs w:val="16"/>
              </w:rPr>
              <w:t xml:space="preserve"> α</w:t>
            </w:r>
            <w:proofErr w:type="spellStart"/>
            <w:r w:rsidRPr="00364989">
              <w:rPr>
                <w:sz w:val="16"/>
                <w:szCs w:val="16"/>
              </w:rPr>
              <w:t>ντλί</w:t>
            </w:r>
            <w:proofErr w:type="spellEnd"/>
            <w:r w:rsidRPr="00364989">
              <w:rPr>
                <w:sz w:val="16"/>
                <w:szCs w:val="16"/>
              </w:rPr>
              <w:t>ας π</w:t>
            </w:r>
            <w:proofErr w:type="spellStart"/>
            <w:r w:rsidRPr="00364989">
              <w:rPr>
                <w:sz w:val="16"/>
                <w:szCs w:val="16"/>
              </w:rPr>
              <w:t>ολυηλεκτρολύτη</w:t>
            </w:r>
            <w:proofErr w:type="spellEnd"/>
          </w:p>
          <w:p w:rsidR="00D12D3C" w:rsidRPr="00364989" w:rsidRDefault="00D12D3C" w:rsidP="00D12D3C">
            <w:pPr>
              <w:numPr>
                <w:ilvl w:val="0"/>
                <w:numId w:val="2"/>
              </w:numPr>
              <w:suppressAutoHyphens w:val="0"/>
              <w:spacing w:after="0"/>
              <w:rPr>
                <w:sz w:val="16"/>
                <w:szCs w:val="16"/>
              </w:rPr>
            </w:pPr>
            <w:proofErr w:type="spellStart"/>
            <w:r w:rsidRPr="00364989">
              <w:rPr>
                <w:sz w:val="16"/>
                <w:szCs w:val="16"/>
              </w:rPr>
              <w:t>Στερεά</w:t>
            </w:r>
            <w:proofErr w:type="spellEnd"/>
            <w:r w:rsidRPr="00364989">
              <w:rPr>
                <w:sz w:val="16"/>
                <w:szCs w:val="16"/>
              </w:rPr>
              <w:t xml:space="preserve"> </w:t>
            </w:r>
            <w:proofErr w:type="spellStart"/>
            <w:r w:rsidRPr="00364989">
              <w:rPr>
                <w:sz w:val="16"/>
                <w:szCs w:val="16"/>
              </w:rPr>
              <w:t>λάσ</w:t>
            </w:r>
            <w:proofErr w:type="spellEnd"/>
            <w:r w:rsidRPr="00364989">
              <w:rPr>
                <w:sz w:val="16"/>
                <w:szCs w:val="16"/>
              </w:rPr>
              <w:t>πης MLSS</w:t>
            </w:r>
          </w:p>
          <w:p w:rsidR="00D12D3C" w:rsidRPr="00364989" w:rsidRDefault="00D12D3C" w:rsidP="00D12D3C">
            <w:pPr>
              <w:numPr>
                <w:ilvl w:val="0"/>
                <w:numId w:val="2"/>
              </w:numPr>
              <w:suppressAutoHyphens w:val="0"/>
              <w:spacing w:after="0"/>
              <w:rPr>
                <w:sz w:val="16"/>
                <w:szCs w:val="16"/>
              </w:rPr>
            </w:pPr>
            <w:proofErr w:type="spellStart"/>
            <w:r w:rsidRPr="00364989">
              <w:rPr>
                <w:sz w:val="16"/>
                <w:szCs w:val="16"/>
              </w:rPr>
              <w:t>Μηνύμ</w:t>
            </w:r>
            <w:proofErr w:type="spellEnd"/>
            <w:r w:rsidRPr="00364989">
              <w:rPr>
                <w:sz w:val="16"/>
                <w:szCs w:val="16"/>
              </w:rPr>
              <w:t>ατα και alarm</w:t>
            </w:r>
          </w:p>
          <w:p w:rsidR="00D12D3C" w:rsidRPr="00364989" w:rsidRDefault="00D12D3C" w:rsidP="0000428E">
            <w:pPr>
              <w:rPr>
                <w:sz w:val="16"/>
                <w:szCs w:val="16"/>
              </w:rPr>
            </w:pPr>
          </w:p>
          <w:p w:rsidR="00D12D3C" w:rsidRPr="00364989" w:rsidRDefault="00D12D3C" w:rsidP="0000428E">
            <w:pPr>
              <w:rPr>
                <w:sz w:val="16"/>
                <w:szCs w:val="16"/>
                <w:lang w:val="el-GR"/>
              </w:rPr>
            </w:pPr>
            <w:r w:rsidRPr="00364989">
              <w:rPr>
                <w:sz w:val="16"/>
                <w:szCs w:val="16"/>
                <w:lang w:val="el-GR"/>
              </w:rPr>
              <w:t>Για την τεχνική προδιαγραφή του Ηλεκτρικού Πίνακα και υλικών πινάκων  βλέπε παράγραφο 7 Τεύχους Τεχνικών προδιαγραφών.</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578"/>
        </w:trPr>
        <w:tc>
          <w:tcPr>
            <w:tcW w:w="10973" w:type="dxa"/>
            <w:gridSpan w:val="5"/>
            <w:vAlign w:val="center"/>
          </w:tcPr>
          <w:p w:rsidR="00D12D3C" w:rsidRPr="00364989" w:rsidRDefault="00D12D3C" w:rsidP="0000428E">
            <w:pPr>
              <w:rPr>
                <w:sz w:val="16"/>
                <w:szCs w:val="16"/>
              </w:rPr>
            </w:pPr>
            <w:r w:rsidRPr="00364989">
              <w:rPr>
                <w:b/>
                <w:sz w:val="16"/>
                <w:szCs w:val="16"/>
              </w:rPr>
              <w:t>7. ΘΕΣΗ ΕΓΚΑΤΑΣΤΑΣΗΣ</w:t>
            </w:r>
          </w:p>
        </w:tc>
      </w:tr>
      <w:tr w:rsidR="00D12D3C" w:rsidRPr="00364989" w:rsidTr="0000428E">
        <w:trPr>
          <w:trHeight w:val="70"/>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7.1</w:t>
            </w:r>
          </w:p>
        </w:tc>
        <w:tc>
          <w:tcPr>
            <w:tcW w:w="4986" w:type="dxa"/>
            <w:vAlign w:val="center"/>
          </w:tcPr>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Η  εγκατάσταση του φυγοκεντρικού διαχωριστήρα καθώς και του κοχλία μεταφοράς λάσπης θα γίνει με τέτοιο τρόπο  έτσι ώστε να είναι δυνατή η προσθήκη και δεύτερων όμοιων μηχανημάτων στο μέλλον. </w:t>
            </w:r>
          </w:p>
          <w:p w:rsidR="00D12D3C" w:rsidRPr="00364989" w:rsidRDefault="00D12D3C" w:rsidP="0000428E">
            <w:pPr>
              <w:rPr>
                <w:sz w:val="16"/>
                <w:szCs w:val="16"/>
                <w:lang w:val="el-GR"/>
              </w:rPr>
            </w:pPr>
            <w:r w:rsidRPr="00364989">
              <w:rPr>
                <w:sz w:val="16"/>
                <w:szCs w:val="16"/>
                <w:lang w:val="el-GR"/>
              </w:rPr>
              <w:t>Οι θέσεις εγκατάστασης είναι εγκεκριμένες από την Δ.Ε.Υ.Α.Β.Α.</w:t>
            </w:r>
          </w:p>
          <w:p w:rsidR="00D12D3C" w:rsidRPr="00364989" w:rsidRDefault="00D12D3C" w:rsidP="0000428E">
            <w:pPr>
              <w:rPr>
                <w:sz w:val="16"/>
                <w:szCs w:val="16"/>
                <w:lang w:val="el-GR"/>
              </w:rPr>
            </w:pPr>
            <w:r w:rsidRPr="00364989">
              <w:rPr>
                <w:sz w:val="16"/>
                <w:szCs w:val="16"/>
                <w:lang w:val="el-GR"/>
              </w:rPr>
              <w:t xml:space="preserve">Όπως προαναφέρθηκε η εγκατάσταση θα γίνει στο κτίριο αποθήκευσης  και βιομηχανικού νερού της Ε.Ε.Λ. της Δ.Ε.Υ.Α.Β.Α.  Οι προσφορές θα συνοδεύονται με σχέδιο κάτοψης και τομής του χώρου όπου θα τεκμηριώνεται (με προτεινόμενη διάταξη του Η/Μ εξοπλισμού) η δυνατότητα της προσφοράς όσον αφορά την  λειτουργικότητα και την </w:t>
            </w:r>
            <w:proofErr w:type="spellStart"/>
            <w:r w:rsidRPr="00364989">
              <w:rPr>
                <w:sz w:val="16"/>
                <w:szCs w:val="16"/>
                <w:lang w:val="el-GR"/>
              </w:rPr>
              <w:t>επεκτασιμότητά</w:t>
            </w:r>
            <w:proofErr w:type="spellEnd"/>
            <w:r w:rsidRPr="00364989">
              <w:rPr>
                <w:sz w:val="16"/>
                <w:szCs w:val="16"/>
                <w:lang w:val="el-GR"/>
              </w:rPr>
              <w:t xml:space="preserve"> της.</w:t>
            </w:r>
          </w:p>
          <w:p w:rsidR="00D12D3C" w:rsidRPr="00364989" w:rsidRDefault="00D12D3C" w:rsidP="0000428E">
            <w:pPr>
              <w:rPr>
                <w:sz w:val="16"/>
                <w:szCs w:val="16"/>
                <w:lang w:val="el-GR"/>
              </w:rPr>
            </w:pP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414"/>
        </w:trPr>
        <w:tc>
          <w:tcPr>
            <w:tcW w:w="10973" w:type="dxa"/>
            <w:gridSpan w:val="5"/>
            <w:vAlign w:val="center"/>
          </w:tcPr>
          <w:p w:rsidR="00D12D3C" w:rsidRPr="00364989" w:rsidRDefault="00D12D3C" w:rsidP="0000428E">
            <w:pPr>
              <w:rPr>
                <w:sz w:val="16"/>
                <w:szCs w:val="16"/>
              </w:rPr>
            </w:pPr>
            <w:r w:rsidRPr="00364989">
              <w:rPr>
                <w:b/>
                <w:sz w:val="16"/>
                <w:szCs w:val="16"/>
              </w:rPr>
              <w:t>8. ΥΛΙΚΑ ΚΑΙ ΕΡΓΑΣΙΕΣ</w:t>
            </w:r>
          </w:p>
        </w:tc>
      </w:tr>
      <w:tr w:rsidR="00D12D3C" w:rsidRPr="00364989" w:rsidTr="0000428E">
        <w:trPr>
          <w:trHeight w:val="5861"/>
        </w:trPr>
        <w:tc>
          <w:tcPr>
            <w:tcW w:w="675" w:type="dxa"/>
            <w:vAlign w:val="center"/>
          </w:tcPr>
          <w:p w:rsidR="00D12D3C" w:rsidRPr="00364989" w:rsidRDefault="00D12D3C" w:rsidP="0000428E">
            <w:pPr>
              <w:pStyle w:val="ListParagraph1"/>
              <w:ind w:left="35"/>
              <w:rPr>
                <w:sz w:val="16"/>
                <w:szCs w:val="16"/>
                <w:lang w:val="el-GR"/>
              </w:rPr>
            </w:pPr>
            <w:r w:rsidRPr="00364989">
              <w:rPr>
                <w:sz w:val="16"/>
                <w:szCs w:val="16"/>
                <w:lang w:val="el-GR"/>
              </w:rPr>
              <w:lastRenderedPageBreak/>
              <w:t>8.1</w:t>
            </w:r>
          </w:p>
        </w:tc>
        <w:tc>
          <w:tcPr>
            <w:tcW w:w="4986" w:type="dxa"/>
            <w:vAlign w:val="center"/>
          </w:tcPr>
          <w:p w:rsidR="00D12D3C" w:rsidRPr="00364989" w:rsidRDefault="00D12D3C" w:rsidP="0000428E">
            <w:pPr>
              <w:rPr>
                <w:sz w:val="16"/>
                <w:szCs w:val="16"/>
                <w:lang w:val="el-GR"/>
              </w:rPr>
            </w:pPr>
            <w:r w:rsidRPr="00364989">
              <w:rPr>
                <w:sz w:val="16"/>
                <w:szCs w:val="16"/>
                <w:lang w:val="el-GR"/>
              </w:rPr>
              <w:t>Η εγκατάσταση (εκτός από την προμήθεια και τοποθέτηση των κύριων  μηχανημάτων) θα είναι πλήρης, δηλαδή θα συμπεριλαμβάνονται όλες οι απαιτούμενες υδραυλικές και ηλεκτρολογικές συνδέσεις.</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Όσον αφορά στις υδραυλικές συνδέσεις απαιτείται η σύνδεση με το δίκτυο περίσσειας ιλύος, πόσιμου νερού, βιομηχανικού νερού και απορροής στραγγισμάτων από τα σημεία που φαίνονται στα σχέδια και υποδεικνύει η Δ.Ε.Υ.Α.Β.Α.</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Επίσης απαιτείται η εγκατάσταση των σωληνώσεων τροφοδοσίας ιλύος και </w:t>
            </w:r>
            <w:proofErr w:type="spellStart"/>
            <w:r w:rsidRPr="00364989">
              <w:rPr>
                <w:sz w:val="16"/>
                <w:szCs w:val="16"/>
                <w:lang w:val="el-GR"/>
              </w:rPr>
              <w:t>πολυηλεκτρολύτη</w:t>
            </w:r>
            <w:proofErr w:type="spellEnd"/>
            <w:r w:rsidRPr="00364989">
              <w:rPr>
                <w:sz w:val="16"/>
                <w:szCs w:val="16"/>
                <w:lang w:val="el-GR"/>
              </w:rPr>
              <w:t xml:space="preserve"> εντός του κτιρίου (</w:t>
            </w:r>
            <w:r w:rsidRPr="00364989">
              <w:rPr>
                <w:sz w:val="16"/>
                <w:szCs w:val="16"/>
                <w:lang w:val="en-US"/>
              </w:rPr>
              <w:t>PVC</w:t>
            </w:r>
            <w:r w:rsidRPr="00364989">
              <w:rPr>
                <w:sz w:val="16"/>
                <w:szCs w:val="16"/>
                <w:lang w:val="el-GR"/>
              </w:rPr>
              <w:t xml:space="preserve"> υψηλής ονομαστικής πίεσης τουλάχιστον 10</w:t>
            </w:r>
            <w:proofErr w:type="spellStart"/>
            <w:r w:rsidRPr="00364989">
              <w:rPr>
                <w:sz w:val="16"/>
                <w:szCs w:val="16"/>
                <w:lang w:val="en-US"/>
              </w:rPr>
              <w:t>atm</w:t>
            </w:r>
            <w:proofErr w:type="spellEnd"/>
            <w:r w:rsidRPr="00364989">
              <w:rPr>
                <w:sz w:val="16"/>
                <w:szCs w:val="16"/>
                <w:lang w:val="el-GR"/>
              </w:rPr>
              <w:t>).</w:t>
            </w:r>
          </w:p>
          <w:p w:rsidR="00D12D3C" w:rsidRPr="00364989" w:rsidRDefault="00D12D3C" w:rsidP="0000428E">
            <w:pPr>
              <w:rPr>
                <w:sz w:val="16"/>
                <w:szCs w:val="16"/>
                <w:lang w:val="el-GR"/>
              </w:rPr>
            </w:pPr>
          </w:p>
          <w:p w:rsidR="00D12D3C" w:rsidRPr="00364989" w:rsidRDefault="00D12D3C" w:rsidP="0000428E">
            <w:pPr>
              <w:rPr>
                <w:sz w:val="16"/>
                <w:szCs w:val="16"/>
                <w:lang w:val="el-GR"/>
              </w:rPr>
            </w:pPr>
            <w:r w:rsidRPr="00364989">
              <w:rPr>
                <w:sz w:val="16"/>
                <w:szCs w:val="16"/>
                <w:lang w:val="el-GR"/>
              </w:rPr>
              <w:t xml:space="preserve">Όσον αφορά στις ηλεκτρολογικές συνδέσεις η Δ.Ε.Υ.Α.Β.Α. αναλαμβάνει την τροφοδοσία ισχύος στον Πίνακα, δηλαδή την τοποθέτηση του καλωδίου ισχύος το οποίο θα συνδέσει ο ανάδοχος του έργου. Όλες οι καλωδιώσεις θα είναι μέσα σε κατάλληλα πλαστικά σπιράλ από τον πίνακα μέχρι τα σημεία τροφοδότησης. Όταν υπάρχουν διαδρομές μέσα σε ηλεκτρικές σχάρες δεν υπάρχει τέτοια απαίτηση . Καλωδιώσεις ισχύος και αναλογικών σημάτων θα είναι οπωσδήποτε σε ξεχωριστά σπιράλ. Για τις  καλωδιώσεις αναλογικών σημάτων θα χρησιμοποιηθούν θωρακισμένα καλώδια τύπου </w:t>
            </w:r>
            <w:r w:rsidRPr="00364989">
              <w:rPr>
                <w:sz w:val="16"/>
                <w:szCs w:val="16"/>
                <w:lang w:val="en-US"/>
              </w:rPr>
              <w:t>LIYCY</w:t>
            </w:r>
            <w:r w:rsidRPr="00364989">
              <w:rPr>
                <w:sz w:val="16"/>
                <w:szCs w:val="16"/>
                <w:lang w:val="el-GR"/>
              </w:rPr>
              <w:t>. Για τις ηλεκτρικές γραμμές ισχύος  θα χρησιμοποιηθούν  καλώδια τύπου ΝΥΥ.</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bl>
    <w:p w:rsidR="00D12D3C" w:rsidRPr="00364989" w:rsidRDefault="00D12D3C" w:rsidP="00D12D3C">
      <w:r w:rsidRPr="00364989">
        <w:br w:type="page"/>
      </w:r>
    </w:p>
    <w:tbl>
      <w:tblPr>
        <w:tblW w:w="10973"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86"/>
        <w:gridCol w:w="1348"/>
        <w:gridCol w:w="1437"/>
        <w:gridCol w:w="2527"/>
      </w:tblGrid>
      <w:tr w:rsidR="00D12D3C" w:rsidRPr="00364989" w:rsidTr="0000428E">
        <w:trPr>
          <w:trHeight w:val="594"/>
        </w:trPr>
        <w:tc>
          <w:tcPr>
            <w:tcW w:w="10973" w:type="dxa"/>
            <w:gridSpan w:val="5"/>
            <w:vAlign w:val="center"/>
          </w:tcPr>
          <w:p w:rsidR="00D12D3C" w:rsidRPr="00364989" w:rsidRDefault="00D12D3C" w:rsidP="0000428E">
            <w:pPr>
              <w:rPr>
                <w:sz w:val="16"/>
                <w:szCs w:val="16"/>
                <w:lang w:val="el-GR"/>
              </w:rPr>
            </w:pPr>
            <w:r w:rsidRPr="00364989">
              <w:rPr>
                <w:b/>
                <w:sz w:val="16"/>
                <w:szCs w:val="16"/>
                <w:lang w:val="el-GR"/>
              </w:rPr>
              <w:lastRenderedPageBreak/>
              <w:t>9. ΘΕΣΗ ΣΕ ΛΕΙΤΟΥΡΓΙΑ ΚΑΙ ΣΥΝΤΗΡΗΣΗ ΤΗΣ ΜΟΝΑΔΑΣ</w:t>
            </w:r>
          </w:p>
        </w:tc>
      </w:tr>
      <w:tr w:rsidR="00D12D3C" w:rsidRPr="00364989" w:rsidTr="0000428E">
        <w:trPr>
          <w:trHeight w:val="5202"/>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9.1</w:t>
            </w:r>
          </w:p>
        </w:tc>
        <w:tc>
          <w:tcPr>
            <w:tcW w:w="4986" w:type="dxa"/>
            <w:vAlign w:val="center"/>
          </w:tcPr>
          <w:p w:rsidR="00D12D3C" w:rsidRPr="00364989" w:rsidRDefault="00D12D3C" w:rsidP="0000428E">
            <w:pPr>
              <w:spacing w:after="160"/>
              <w:rPr>
                <w:sz w:val="16"/>
                <w:szCs w:val="16"/>
                <w:lang w:val="el-GR"/>
              </w:rPr>
            </w:pPr>
            <w:r w:rsidRPr="00364989">
              <w:rPr>
                <w:sz w:val="16"/>
                <w:szCs w:val="16"/>
                <w:lang w:val="el-GR"/>
              </w:rPr>
              <w:t xml:space="preserve">Ο Ανάδοχος με την προσφορά του αναλαμβάνει με δική του δαπάνη την υποχρέωση διενέργειας μιας τουλάχιστον επίσκεψης εξειδικευμένου τεχνικού εξουσιοδοτημένου από τον οίκο κατασκευής του </w:t>
            </w:r>
            <w:proofErr w:type="spellStart"/>
            <w:r w:rsidRPr="00364989">
              <w:rPr>
                <w:sz w:val="16"/>
                <w:szCs w:val="16"/>
                <w:lang w:val="el-GR"/>
              </w:rPr>
              <w:t>φυγοκεντρητή</w:t>
            </w:r>
            <w:proofErr w:type="spellEnd"/>
            <w:r w:rsidRPr="00364989">
              <w:rPr>
                <w:sz w:val="16"/>
                <w:szCs w:val="16"/>
                <w:lang w:val="el-GR"/>
              </w:rPr>
              <w:t xml:space="preserve"> στο χώρο της εγκατάστασης σε οποιοδήποτε χρόνο κληθεί προς το σκοπό αυτό από την Υπηρεσία. Η επίσκεψη θα αφορά τη θέση του εξοπλισμού σε δοκιμαστική λειτουργία και θα διενεργηθεί είτε από ειδικό τεχνικό του οίκου κατασκευής του φυγοκεντρικού διαχωριστήρα ή διπλωματούχο μηχανολόγο ή ηλεκτρολόγο ή χημικό μηχανικό με επαρκή εμπειρία στη θέση σε λειτουργία παρόμοιων εγκαταστάσεων στην Ελλάδα. Ο συνολικός χρόνος της πιο πάνω επίσκεψης στην εγκατάσταση δεν μπορεί να είναι μικρότερος των είκοσι πέντε (25) εργασίμων ημερών. </w:t>
            </w:r>
          </w:p>
          <w:p w:rsidR="00D12D3C" w:rsidRPr="00364989" w:rsidRDefault="00D12D3C" w:rsidP="0000428E">
            <w:pPr>
              <w:spacing w:after="160"/>
              <w:rPr>
                <w:sz w:val="16"/>
                <w:szCs w:val="16"/>
                <w:lang w:val="el-GR"/>
              </w:rPr>
            </w:pPr>
            <w:r w:rsidRPr="00364989">
              <w:rPr>
                <w:sz w:val="16"/>
                <w:szCs w:val="16"/>
                <w:lang w:val="el-GR"/>
              </w:rPr>
              <w:t xml:space="preserve">Μέσα σε χρονικό διάστημα 12 μηνών από τη θέση της μονάδας σε λειτουργία , και σε χρονική στιγμή που θα επιλεγεί από την Υπηρεσία,   ο Ανάδοχος θα διενεργήσει δωρεάν (με επίσκεψη εξουσιοδοτημένου μηχανικού από τον οίκο κατασκευής των </w:t>
            </w:r>
            <w:proofErr w:type="spellStart"/>
            <w:r w:rsidRPr="00364989">
              <w:rPr>
                <w:sz w:val="16"/>
                <w:szCs w:val="16"/>
                <w:lang w:val="el-GR"/>
              </w:rPr>
              <w:t>φυγοκεντρητών</w:t>
            </w:r>
            <w:proofErr w:type="spellEnd"/>
            <w:r w:rsidRPr="00364989">
              <w:rPr>
                <w:sz w:val="16"/>
                <w:szCs w:val="16"/>
                <w:lang w:val="el-GR"/>
              </w:rPr>
              <w:t>) την πρώτη προληπτική συντήρηση των φυγοκεντρικών διαχωριστήρων σύμφωνα με το πρόγραμμα συντήρησης του οίκου κατασκευής. Κατά την επίσκεψη αυτή θα εκπαιδευτεί το τεχνικό προσωπικό της Υπηρεσίας στην περαιτέρω προληπτική περιοδική συντήρηση του εξοπλισμού της νέας μονάδας αφυδάτωσης λάσπης. . Ο συνολικός χρόνος της πιο πάνω επίσκεψης στην εγκατάσταση δεν μπορεί να είναι μικρότερος των τριών (03) εργασίμων ημερών.</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r w:rsidR="00D12D3C" w:rsidRPr="00364989" w:rsidTr="0000428E">
        <w:trPr>
          <w:trHeight w:val="552"/>
        </w:trPr>
        <w:tc>
          <w:tcPr>
            <w:tcW w:w="10973" w:type="dxa"/>
            <w:gridSpan w:val="5"/>
            <w:vAlign w:val="center"/>
          </w:tcPr>
          <w:p w:rsidR="00D12D3C" w:rsidRPr="00364989" w:rsidRDefault="00D12D3C" w:rsidP="0000428E">
            <w:pPr>
              <w:rPr>
                <w:sz w:val="16"/>
                <w:szCs w:val="16"/>
              </w:rPr>
            </w:pPr>
            <w:r w:rsidRPr="00364989">
              <w:rPr>
                <w:b/>
                <w:sz w:val="16"/>
                <w:szCs w:val="16"/>
              </w:rPr>
              <w:t>10. ΑΠΑΙΤΗΣΕΙΣ ΤΕΧΝΙΚΩΝ ΧΑΡΑΚΤΗΡΙΣΤΙΚΩΝ</w:t>
            </w:r>
          </w:p>
        </w:tc>
      </w:tr>
      <w:tr w:rsidR="00D12D3C" w:rsidRPr="00364989" w:rsidTr="0000428E">
        <w:trPr>
          <w:trHeight w:val="1041"/>
        </w:trPr>
        <w:tc>
          <w:tcPr>
            <w:tcW w:w="675" w:type="dxa"/>
            <w:vAlign w:val="center"/>
          </w:tcPr>
          <w:p w:rsidR="00D12D3C" w:rsidRPr="00364989" w:rsidRDefault="00D12D3C" w:rsidP="0000428E">
            <w:pPr>
              <w:pStyle w:val="ListParagraph1"/>
              <w:ind w:left="35"/>
              <w:rPr>
                <w:b/>
                <w:sz w:val="16"/>
                <w:szCs w:val="16"/>
                <w:lang w:val="el-GR"/>
              </w:rPr>
            </w:pPr>
            <w:r w:rsidRPr="00364989">
              <w:rPr>
                <w:b/>
                <w:sz w:val="16"/>
                <w:szCs w:val="16"/>
                <w:lang w:val="el-GR"/>
              </w:rPr>
              <w:t>10.1</w:t>
            </w:r>
          </w:p>
        </w:tc>
        <w:tc>
          <w:tcPr>
            <w:tcW w:w="4986" w:type="dxa"/>
            <w:vAlign w:val="center"/>
          </w:tcPr>
          <w:p w:rsidR="00D12D3C" w:rsidRPr="00364989" w:rsidRDefault="00D12D3C" w:rsidP="0000428E">
            <w:pPr>
              <w:rPr>
                <w:sz w:val="16"/>
                <w:szCs w:val="16"/>
                <w:lang w:val="el-GR"/>
              </w:rPr>
            </w:pPr>
            <w:r w:rsidRPr="00364989">
              <w:rPr>
                <w:sz w:val="16"/>
                <w:szCs w:val="16"/>
                <w:lang w:val="el-GR"/>
              </w:rPr>
              <w:t>Συμμόρφωση με τις απαιτήσεις για τα τεχνικά χαρακτηριστικά των μηχανημάτων και της εγκατάστασης  όπως αναλυτικά περιγράφονται στο τεύχος των Τεχνικών Προδιαγραφών.</w:t>
            </w:r>
          </w:p>
        </w:tc>
        <w:tc>
          <w:tcPr>
            <w:tcW w:w="1348" w:type="dxa"/>
            <w:vAlign w:val="center"/>
          </w:tcPr>
          <w:p w:rsidR="00D12D3C" w:rsidRPr="00364989" w:rsidRDefault="00D12D3C" w:rsidP="0000428E">
            <w:pPr>
              <w:jc w:val="center"/>
              <w:rPr>
                <w:sz w:val="16"/>
                <w:szCs w:val="16"/>
              </w:rPr>
            </w:pPr>
            <w:r w:rsidRPr="00364989">
              <w:rPr>
                <w:sz w:val="16"/>
                <w:szCs w:val="16"/>
              </w:rPr>
              <w:t>ΝΑΙ</w:t>
            </w:r>
          </w:p>
        </w:tc>
        <w:tc>
          <w:tcPr>
            <w:tcW w:w="1437" w:type="dxa"/>
            <w:vAlign w:val="center"/>
          </w:tcPr>
          <w:p w:rsidR="00D12D3C" w:rsidRPr="00364989" w:rsidRDefault="00D12D3C" w:rsidP="0000428E">
            <w:pPr>
              <w:rPr>
                <w:sz w:val="16"/>
                <w:szCs w:val="16"/>
              </w:rPr>
            </w:pPr>
          </w:p>
        </w:tc>
        <w:tc>
          <w:tcPr>
            <w:tcW w:w="2527" w:type="dxa"/>
            <w:vAlign w:val="center"/>
          </w:tcPr>
          <w:p w:rsidR="00D12D3C" w:rsidRPr="00364989" w:rsidRDefault="00D12D3C" w:rsidP="0000428E">
            <w:pPr>
              <w:rPr>
                <w:sz w:val="16"/>
                <w:szCs w:val="16"/>
              </w:rPr>
            </w:pPr>
          </w:p>
        </w:tc>
      </w:tr>
    </w:tbl>
    <w:p w:rsidR="00E91E28" w:rsidRDefault="00E91E28"/>
    <w:sectPr w:rsidR="00E9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C2F"/>
    <w:multiLevelType w:val="hybridMultilevel"/>
    <w:tmpl w:val="674070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F84DC2"/>
    <w:multiLevelType w:val="hybridMultilevel"/>
    <w:tmpl w:val="7CAAF6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3C"/>
    <w:rsid w:val="00D12D3C"/>
    <w:rsid w:val="00E9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3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12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12D3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12D3C"/>
    <w:rPr>
      <w:rFonts w:ascii="Arial" w:eastAsia="Times New Roman" w:hAnsi="Arial" w:cs="Arial"/>
      <w:b/>
      <w:color w:val="002060"/>
      <w:sz w:val="24"/>
      <w:lang w:val="en-GB" w:eastAsia="zh-CN"/>
    </w:rPr>
  </w:style>
  <w:style w:type="paragraph" w:customStyle="1" w:styleId="ListParagraph1">
    <w:name w:val="List Paragraph1"/>
    <w:basedOn w:val="a"/>
    <w:rsid w:val="00D12D3C"/>
    <w:pPr>
      <w:suppressAutoHyphens w:val="0"/>
      <w:spacing w:after="0"/>
      <w:ind w:left="720"/>
      <w:contextualSpacing/>
      <w:jc w:val="left"/>
    </w:pPr>
    <w:rPr>
      <w:rFonts w:ascii="Arial" w:hAnsi="Arial" w:cs="Arial"/>
      <w:szCs w:val="22"/>
      <w:lang w:eastAsia="en-US"/>
    </w:rPr>
  </w:style>
  <w:style w:type="character" w:customStyle="1" w:styleId="1Char">
    <w:name w:val="Επικεφαλίδα 1 Char"/>
    <w:basedOn w:val="a0"/>
    <w:link w:val="1"/>
    <w:uiPriority w:val="9"/>
    <w:rsid w:val="00D12D3C"/>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3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12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12D3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12D3C"/>
    <w:rPr>
      <w:rFonts w:ascii="Arial" w:eastAsia="Times New Roman" w:hAnsi="Arial" w:cs="Arial"/>
      <w:b/>
      <w:color w:val="002060"/>
      <w:sz w:val="24"/>
      <w:lang w:val="en-GB" w:eastAsia="zh-CN"/>
    </w:rPr>
  </w:style>
  <w:style w:type="paragraph" w:customStyle="1" w:styleId="ListParagraph1">
    <w:name w:val="List Paragraph1"/>
    <w:basedOn w:val="a"/>
    <w:rsid w:val="00D12D3C"/>
    <w:pPr>
      <w:suppressAutoHyphens w:val="0"/>
      <w:spacing w:after="0"/>
      <w:ind w:left="720"/>
      <w:contextualSpacing/>
      <w:jc w:val="left"/>
    </w:pPr>
    <w:rPr>
      <w:rFonts w:ascii="Arial" w:hAnsi="Arial" w:cs="Arial"/>
      <w:szCs w:val="22"/>
      <w:lang w:eastAsia="en-US"/>
    </w:rPr>
  </w:style>
  <w:style w:type="character" w:customStyle="1" w:styleId="1Char">
    <w:name w:val="Επικεφαλίδα 1 Char"/>
    <w:basedOn w:val="a0"/>
    <w:link w:val="1"/>
    <w:uiPriority w:val="9"/>
    <w:rsid w:val="00D12D3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1957</Words>
  <Characters>11161</Characters>
  <Application>Microsoft Office Word</Application>
  <DocSecurity>0</DocSecurity>
  <Lines>93</Lines>
  <Paragraphs>26</Paragraphs>
  <ScaleCrop>false</ScaleCrop>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cp:revision>
  <dcterms:created xsi:type="dcterms:W3CDTF">2017-05-23T07:39:00Z</dcterms:created>
  <dcterms:modified xsi:type="dcterms:W3CDTF">2017-05-23T07:41:00Z</dcterms:modified>
</cp:coreProperties>
</file>